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18385" w14:textId="77777777" w:rsidR="00FC1B21" w:rsidRPr="00FC1B21" w:rsidRDefault="00FC1B21" w:rsidP="00FC1B21">
      <w:pPr>
        <w:pStyle w:val="berschrift1"/>
      </w:pPr>
      <w:r w:rsidRPr="00FC1B21">
        <w:t>Wie Sulfanilamid als Antibiotikum wirkt</w:t>
      </w:r>
    </w:p>
    <w:p w14:paraId="1DC96295" w14:textId="77777777" w:rsidR="005A1487" w:rsidRDefault="005A1487" w:rsidP="00024631">
      <w:pPr>
        <w:pStyle w:val="berschrift2"/>
        <w:rPr>
          <w:sz w:val="36"/>
          <w:szCs w:val="36"/>
        </w:rPr>
      </w:pPr>
      <w:r>
        <w:t>Einführung</w:t>
      </w:r>
    </w:p>
    <w:p w14:paraId="6A5F8D50" w14:textId="701F2ABF" w:rsidR="005A1487" w:rsidRPr="005A1487" w:rsidRDefault="005A1487" w:rsidP="005A1487">
      <w:r w:rsidRPr="005A1487">
        <w:t>Sulfanilamid wird seit 1935 als Antibiotikum verwendet und gehört damit zu den ältesten Antibiotika. Auch heute noch gelangen ähnliche Stoffe, so genannte Sulfonamide, als wirkungsvolle Antibiotika zum Einsatz.</w:t>
      </w:r>
    </w:p>
    <w:p w14:paraId="6EBD3690" w14:textId="02ACB745" w:rsidR="005A1487" w:rsidRPr="005A1487" w:rsidRDefault="005A1487" w:rsidP="005A1487">
      <w:pPr>
        <w:spacing w:before="0" w:beforeAutospacing="0" w:after="0" w:afterAutospacing="0"/>
        <w:jc w:val="left"/>
        <w:rPr>
          <w:rFonts w:ascii="Times New Roman" w:hAnsi="Times New Roman" w:cs="Times New Roman"/>
        </w:rPr>
      </w:pPr>
      <w:r w:rsidRPr="005A1487">
        <w:rPr>
          <w:rFonts w:ascii="Times New Roman" w:hAnsi="Times New Roman" w:cs="Times New Roman"/>
          <w:noProof/>
          <w:color w:val="0000FF"/>
        </w:rPr>
        <w:drawing>
          <wp:inline distT="0" distB="0" distL="0" distR="0" wp14:anchorId="4330320E" wp14:editId="3B2B2EBC">
            <wp:extent cx="5760720" cy="1599565"/>
            <wp:effectExtent l="0" t="0" r="0" b="635"/>
            <wp:docPr id="11" name="Grafik 11" descr="Sulfanilami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ulfanilami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599565"/>
                    </a:xfrm>
                    <a:prstGeom prst="rect">
                      <a:avLst/>
                    </a:prstGeom>
                    <a:noFill/>
                    <a:ln>
                      <a:noFill/>
                    </a:ln>
                  </pic:spPr>
                </pic:pic>
              </a:graphicData>
            </a:graphic>
          </wp:inline>
        </w:drawing>
      </w:r>
    </w:p>
    <w:p w14:paraId="6BE31FDB" w14:textId="77777777" w:rsidR="005A1487" w:rsidRPr="005A1487" w:rsidRDefault="005A1487" w:rsidP="005A1487">
      <w:pPr>
        <w:pStyle w:val="Bildunterschrift"/>
      </w:pPr>
      <w:r w:rsidRPr="005A1487">
        <w:t>Abb. 1 Sulfanilamid im Kalottenmodell und als Keil/Strich-Formel</w:t>
      </w:r>
    </w:p>
    <w:p w14:paraId="034A03FB" w14:textId="77777777" w:rsidR="005A1487" w:rsidRPr="005A1487" w:rsidRDefault="005A1487" w:rsidP="005A1487">
      <w:r w:rsidRPr="005A1487">
        <w:t>Sulfanilamid hindert die Bakterien am Wachstum, indem es eines ihrer Enzyme hemmt: die Dihydropteroat-Synthase (DPHS). Dieses Enzym katalysiert einen Zwischenschritt der Folsäuresynthese. Folsäure ist wiederum nötig, um DNS-Bausteine zu synthetisieren. Ohne Folsäure können die Bakterien daher keine neue DNS herstellen und sich daher auch nicht vermehren.</w:t>
      </w:r>
    </w:p>
    <w:p w14:paraId="49876B8E" w14:textId="20CA1240" w:rsidR="005A1487" w:rsidRPr="005A1487" w:rsidRDefault="005A1487" w:rsidP="005A1487">
      <w:pPr>
        <w:spacing w:before="0" w:beforeAutospacing="0" w:after="0" w:afterAutospacing="0"/>
        <w:jc w:val="left"/>
        <w:rPr>
          <w:rFonts w:ascii="Times New Roman" w:hAnsi="Times New Roman" w:cs="Times New Roman"/>
        </w:rPr>
      </w:pPr>
      <w:r w:rsidRPr="005A1487">
        <w:rPr>
          <w:rFonts w:ascii="Times New Roman" w:hAnsi="Times New Roman" w:cs="Times New Roman"/>
          <w:noProof/>
          <w:color w:val="0000FF"/>
        </w:rPr>
        <w:drawing>
          <wp:inline distT="0" distB="0" distL="0" distR="0" wp14:anchorId="2AFD1476" wp14:editId="5589C151">
            <wp:extent cx="5760720" cy="2416175"/>
            <wp:effectExtent l="0" t="0" r="0" b="3175"/>
            <wp:docPr id="10" name="Grafik 10" descr="Antibiotikum und Bakteriu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tibiotikum und Bakteriu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416175"/>
                    </a:xfrm>
                    <a:prstGeom prst="rect">
                      <a:avLst/>
                    </a:prstGeom>
                    <a:noFill/>
                    <a:ln>
                      <a:noFill/>
                    </a:ln>
                  </pic:spPr>
                </pic:pic>
              </a:graphicData>
            </a:graphic>
          </wp:inline>
        </w:drawing>
      </w:r>
    </w:p>
    <w:p w14:paraId="6B360957" w14:textId="5FAE8986" w:rsidR="005A1487" w:rsidRPr="005A1487" w:rsidRDefault="005A1487" w:rsidP="005A1487">
      <w:pPr>
        <w:pStyle w:val="Bildunterschrift"/>
      </w:pPr>
      <w:r w:rsidRPr="005A1487">
        <w:t xml:space="preserve">Abb. 2 Das Antibiotikum Sulfanilamid </w:t>
      </w:r>
      <w:r w:rsidR="00712AF9">
        <w:t xml:space="preserve">[1] </w:t>
      </w:r>
      <w:r w:rsidRPr="005A1487">
        <w:t xml:space="preserve">und der Erreger </w:t>
      </w:r>
      <w:r w:rsidRPr="005A1487">
        <w:rPr>
          <w:iCs/>
        </w:rPr>
        <w:t>Staphylocuccus aureus</w:t>
      </w:r>
      <w:r w:rsidRPr="005A1487">
        <w:t xml:space="preserve"> </w:t>
      </w:r>
      <w:r w:rsidR="00712AF9">
        <w:t>[2].</w:t>
      </w:r>
    </w:p>
    <w:p w14:paraId="13114EE3" w14:textId="77777777" w:rsidR="005A1487" w:rsidRPr="005A1487" w:rsidRDefault="005A1487" w:rsidP="005A1487">
      <w:r w:rsidRPr="005A1487">
        <w:t>In dieser Aufgabe werden Sie untersuchen, wie das Sulfanilamid dieses Enzym blockiert.</w:t>
      </w:r>
    </w:p>
    <w:p w14:paraId="1A0C0CBF" w14:textId="77777777" w:rsidR="005A1487" w:rsidRPr="005A1487" w:rsidRDefault="005A1487" w:rsidP="005A1487">
      <w:r w:rsidRPr="005A1487">
        <w:t>Die Dihydrpteroat-Synthase lässt zwei Substrate miteinander reagieren:</w:t>
      </w:r>
    </w:p>
    <w:p w14:paraId="5B51AA4A" w14:textId="77777777" w:rsidR="005A1487" w:rsidRPr="005A1487" w:rsidRDefault="005A1487" w:rsidP="005A1487">
      <w:pPr>
        <w:pStyle w:val="Listenabsatz"/>
        <w:numPr>
          <w:ilvl w:val="0"/>
          <w:numId w:val="4"/>
        </w:numPr>
      </w:pPr>
      <w:r w:rsidRPr="005A1487">
        <w:t>6-Hydroxymethylpterin-diphosphat (2PH) und</w:t>
      </w:r>
    </w:p>
    <w:p w14:paraId="66FECDD8" w14:textId="4CFEE5E1" w:rsidR="005A1487" w:rsidRPr="005A1487" w:rsidRDefault="005A1487" w:rsidP="005A1487">
      <w:pPr>
        <w:pStyle w:val="Listenabsatz"/>
        <w:numPr>
          <w:ilvl w:val="0"/>
          <w:numId w:val="4"/>
        </w:numPr>
      </w:pPr>
      <w:r w:rsidRPr="005A1487">
        <w:lastRenderedPageBreak/>
        <w:t>4-Aminobenzoat (pABA</w:t>
      </w:r>
      <w:r w:rsidR="00712AF9">
        <w:rPr>
          <w:rStyle w:val="Funotenzeichen"/>
        </w:rPr>
        <w:footnoteReference w:id="1"/>
      </w:r>
      <w:r w:rsidRPr="005A1487">
        <w:t>)</w:t>
      </w:r>
    </w:p>
    <w:p w14:paraId="582BC610" w14:textId="77777777" w:rsidR="005A1487" w:rsidRPr="005A1487" w:rsidRDefault="005A1487" w:rsidP="005A1487">
      <w:r w:rsidRPr="005A1487">
        <w:t>Aus diesen Substraten entstehen die Produkte 7,8-Dihydropteroat (78H) und Diphosphat (POP):</w:t>
      </w:r>
    </w:p>
    <w:p w14:paraId="225A318D" w14:textId="7A567EAC" w:rsidR="005A1487" w:rsidRPr="005A1487" w:rsidRDefault="005A1487" w:rsidP="005A1487">
      <w:pPr>
        <w:spacing w:before="0" w:beforeAutospacing="0" w:after="0" w:afterAutospacing="0"/>
        <w:jc w:val="left"/>
        <w:rPr>
          <w:rFonts w:ascii="Times New Roman" w:hAnsi="Times New Roman" w:cs="Times New Roman"/>
        </w:rPr>
      </w:pPr>
      <w:r w:rsidRPr="005A1487">
        <w:rPr>
          <w:rFonts w:ascii="Times New Roman" w:hAnsi="Times New Roman" w:cs="Times New Roman"/>
          <w:noProof/>
          <w:color w:val="0000FF"/>
        </w:rPr>
        <w:drawing>
          <wp:inline distT="0" distB="0" distL="0" distR="0" wp14:anchorId="4A06B062" wp14:editId="7454F561">
            <wp:extent cx="5760720" cy="1085850"/>
            <wp:effectExtent l="0" t="0" r="0" b="0"/>
            <wp:docPr id="9" name="Grafik 9" descr="Katalysierte Reakti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atalysierte Reaktio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085850"/>
                    </a:xfrm>
                    <a:prstGeom prst="rect">
                      <a:avLst/>
                    </a:prstGeom>
                    <a:noFill/>
                    <a:ln>
                      <a:noFill/>
                    </a:ln>
                  </pic:spPr>
                </pic:pic>
              </a:graphicData>
            </a:graphic>
          </wp:inline>
        </w:drawing>
      </w:r>
    </w:p>
    <w:p w14:paraId="792BAA9D" w14:textId="1FF77B4F" w:rsidR="005A1487" w:rsidRPr="005A1487" w:rsidRDefault="005A1487" w:rsidP="005A1487">
      <w:pPr>
        <w:pStyle w:val="Bildunterschrift"/>
      </w:pPr>
      <w:r w:rsidRPr="005A1487">
        <w:t>Abb. 3</w:t>
      </w:r>
      <w:r>
        <w:t>:</w:t>
      </w:r>
      <w:r w:rsidRPr="005A1487">
        <w:t xml:space="preserve"> Reaktion der Dihydropteroat-Synthase (DPHS). 6-Hydroxymethylpterin-diphosphat (2PH) und 4-Aminobenzoat (pABA) werden umgesetzt zu 7,8-Dihydropteroat (78H) und Diphosphat (POP)</w:t>
      </w:r>
    </w:p>
    <w:p w14:paraId="1B3D3250" w14:textId="77777777" w:rsidR="005A1487" w:rsidRPr="005A1487" w:rsidRDefault="005A1487" w:rsidP="005A1487">
      <w:r w:rsidRPr="005A1487">
        <w:t>Abbildung 4 zeigt das Enzym Dihydropteroat-Synthase (DPHS), wie es seine zwei Substrate 6-Hydroxymethylpterin-diphosphat und 4-Aminobenzoat bindet (violetter Pfeil). In der linken Abbildung schaut nur das Substrat 4-Aminobenzoat aus dem Protein heraus. Rechts neben dem Protein ist der Inhibitor Sulfanilamid zu sehen (grüner Pfeil). Das Protein wird links als Oberfläche gezeigt, rechts im Cartoon-Modell.</w:t>
      </w:r>
    </w:p>
    <w:p w14:paraId="15BFE27C" w14:textId="77777777" w:rsidR="005A1487" w:rsidRPr="005A1487" w:rsidRDefault="005A1487" w:rsidP="005A1487">
      <w:r w:rsidRPr="005A1487">
        <w:t>Links in der Abbildung 4 sieht man zwar sehr schön, wo sich der Zugang zum reaktiven Zentrum des Enzyms befindet und wie das eine Substrat (pABA) diesen Zugang besetzt. Aber die Einzelheiten im Inneren des Enzyms sind so nicht erkennbar. Für das Binden der Substrate und Inhibitoren sind diese Einzelzeiten aber entscheidend. Daher stellt man die gesamte Struktur eines Proteins meist in der rechts dargestellten Form dar: als Cartoon.</w:t>
      </w:r>
    </w:p>
    <w:p w14:paraId="7D606418" w14:textId="4E1C332B" w:rsidR="005A1487" w:rsidRPr="005A1487" w:rsidRDefault="005A1487" w:rsidP="005A1487">
      <w:pPr>
        <w:spacing w:before="0" w:beforeAutospacing="0" w:after="0" w:afterAutospacing="0"/>
        <w:jc w:val="left"/>
        <w:rPr>
          <w:rFonts w:ascii="Times New Roman" w:hAnsi="Times New Roman" w:cs="Times New Roman"/>
        </w:rPr>
      </w:pPr>
      <w:r w:rsidRPr="005A1487">
        <w:rPr>
          <w:rFonts w:ascii="Times New Roman" w:hAnsi="Times New Roman" w:cs="Times New Roman"/>
          <w:noProof/>
          <w:color w:val="0000FF"/>
        </w:rPr>
        <w:drawing>
          <wp:inline distT="0" distB="0" distL="0" distR="0" wp14:anchorId="7DA97E4F" wp14:editId="5879A783">
            <wp:extent cx="5760720" cy="2054225"/>
            <wp:effectExtent l="0" t="0" r="0" b="3175"/>
            <wp:docPr id="8" name="Grafik 8" descr="Enzy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nzym">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054225"/>
                    </a:xfrm>
                    <a:prstGeom prst="rect">
                      <a:avLst/>
                    </a:prstGeom>
                    <a:noFill/>
                    <a:ln>
                      <a:noFill/>
                    </a:ln>
                  </pic:spPr>
                </pic:pic>
              </a:graphicData>
            </a:graphic>
          </wp:inline>
        </w:drawing>
      </w:r>
    </w:p>
    <w:p w14:paraId="75ECDDA2" w14:textId="74425A84" w:rsidR="005A1487" w:rsidRPr="005A1487" w:rsidRDefault="005A1487" w:rsidP="005A1487">
      <w:pPr>
        <w:pStyle w:val="Bildunterschrift"/>
      </w:pPr>
      <w:r w:rsidRPr="005A1487">
        <w:t>Abb. 4</w:t>
      </w:r>
      <w:r>
        <w:t>:</w:t>
      </w:r>
      <w:r w:rsidRPr="005A1487">
        <w:t xml:space="preserve"> Dihydropteroat-Synthase (DPHS) mit den beiden Substraten 6-Hydroxymethylpterin-diphosphat und 4-Aminobenzoat (violetter Pfeil). Zudem erscheint ausserhalb des Enzyms der Inhibitor Sulfanilamid (Grüner Pfeil). a) Lösemittelzugängliche Oberfläche b) Cartoon-Darstellung.</w:t>
      </w:r>
    </w:p>
    <w:p w14:paraId="1AFF85DE" w14:textId="77777777" w:rsidR="005A1487" w:rsidRPr="005A1487" w:rsidRDefault="005A1487" w:rsidP="005A1487">
      <w:r w:rsidRPr="005A1487">
        <w:lastRenderedPageBreak/>
        <w:t>Sulfanilamid blockiert dieses Enyzm, indem es eines der beiden Substrate im katalytischen Zentrum verdrängt. Dabei wird das Sulfanilamid sehr stark gebunden und so verbleibt es im Enzym. Letzeres kann dadurch seine Funktion nicht mehr erfüllen.</w:t>
      </w:r>
    </w:p>
    <w:p w14:paraId="703786B0" w14:textId="77777777" w:rsidR="005A1487" w:rsidRDefault="005A1487" w:rsidP="00FC1B21"/>
    <w:p w14:paraId="6400EE94" w14:textId="77777777" w:rsidR="005A1487" w:rsidRDefault="005A1487" w:rsidP="00FC1B21"/>
    <w:p w14:paraId="74A56372" w14:textId="77777777" w:rsidR="005A1487" w:rsidRDefault="005A1487" w:rsidP="00FC1B21"/>
    <w:p w14:paraId="783EC549" w14:textId="77777777" w:rsidR="005A1487" w:rsidRDefault="005A1487" w:rsidP="00FC1B21"/>
    <w:p w14:paraId="6FD83C77" w14:textId="79BADCDD" w:rsidR="00FC1B21" w:rsidRPr="00024631" w:rsidRDefault="00FC1B21" w:rsidP="00024631">
      <w:pPr>
        <w:pStyle w:val="berschrift2"/>
      </w:pPr>
      <w:r w:rsidRPr="00024631">
        <w:t>Anleitung</w:t>
      </w:r>
    </w:p>
    <w:p w14:paraId="10B7FC54" w14:textId="61FCAA83" w:rsidR="00024631" w:rsidRPr="00024631" w:rsidRDefault="00024631" w:rsidP="00024631">
      <w:pPr>
        <w:pStyle w:val="berschrift3"/>
      </w:pPr>
      <w:r w:rsidRPr="00024631">
        <w:t>Vorüberlegung</w:t>
      </w:r>
    </w:p>
    <w:p w14:paraId="3F0B1337" w14:textId="77777777" w:rsidR="00FC1B21" w:rsidRPr="00FC1B21" w:rsidRDefault="00FC1B21" w:rsidP="00FC1B21">
      <w:r w:rsidRPr="00FC1B21">
        <w:t>Unten auf dieser Seite befindet sich ein interaktives Jmol-Modell des oben beschriebenen Enzyms mit Substrat und daneben dem Inhibitor Sulfanilamid. Ihre Aufgabe besteht darin, den Inhibitor nun so zu platzieren, dass er perfekt an das Enyzm bindet - genau so, wie er es in Wirklichkeit auch tut.</w:t>
      </w:r>
    </w:p>
    <w:p w14:paraId="26ECECC3" w14:textId="389ED502" w:rsidR="00FC1B21" w:rsidRPr="00FC1B21" w:rsidRDefault="00FC1B21" w:rsidP="00FC1B21">
      <w:r w:rsidRPr="00FC1B21">
        <w:t>Damit die Aufgabe nicht zu schwierig wird, behelfen Sie sich mit einem Trick. Der Inhibitor bindet im Enzym ja anstelle von einem der beiden Substrate, denn er hat sehr ähnliche Eigenschaften wie dieses Substrat. Auf welche Eigenschaften kommt es dabei wohl an?</w:t>
      </w:r>
    </w:p>
    <w:p w14:paraId="6A43CF20" w14:textId="77777777" w:rsidR="00FC1B21" w:rsidRPr="00FC1B21" w:rsidRDefault="00866389" w:rsidP="00FC1B21">
      <w:r>
        <w:pict w14:anchorId="414540C2">
          <v:rect id="_x0000_i1025" style="width:0;height:1.5pt" o:hralign="center" o:hrstd="t" o:hr="t" fillcolor="#a0a0a0" stroked="f"/>
        </w:pict>
      </w:r>
    </w:p>
    <w:p w14:paraId="1AABF466" w14:textId="77777777" w:rsidR="00B77730" w:rsidRDefault="00770D21" w:rsidP="00FD438A">
      <w:pPr>
        <w:ind w:left="142"/>
        <w:contextualSpacing/>
      </w:pPr>
      <w:r>
        <w:rPr>
          <w:rFonts w:ascii="Segoe UI Symbol" w:hAnsi="Segoe UI Symbol" w:cs="Segoe UI Symbol"/>
        </w:rPr>
        <w:t>❑</w:t>
      </w:r>
      <w:r>
        <w:rPr>
          <w:rFonts w:ascii="Segoe UI Symbol" w:hAnsi="Segoe UI Symbol" w:cs="Segoe UI Symbol"/>
        </w:rPr>
        <w:tab/>
      </w:r>
      <w:r>
        <w:t>Die molare Masse ist ähnlich</w:t>
      </w:r>
    </w:p>
    <w:p w14:paraId="19D0AEB8" w14:textId="51CBA074" w:rsidR="00770D21" w:rsidRDefault="00770D21" w:rsidP="00FD438A">
      <w:pPr>
        <w:ind w:left="142"/>
        <w:contextualSpacing/>
      </w:pPr>
      <w:r>
        <w:rPr>
          <w:rFonts w:ascii="Segoe UI Symbol" w:hAnsi="Segoe UI Symbol" w:cs="Segoe UI Symbol"/>
        </w:rPr>
        <w:t>❑</w:t>
      </w:r>
      <w:r>
        <w:rPr>
          <w:rFonts w:ascii="Segoe UI Symbol" w:hAnsi="Segoe UI Symbol" w:cs="Segoe UI Symbol"/>
        </w:rPr>
        <w:tab/>
      </w:r>
      <w:r>
        <w:t>Die beiden Moleküle haben eine ähnliche Form</w:t>
      </w:r>
    </w:p>
    <w:p w14:paraId="75CB9531" w14:textId="0BD77336" w:rsidR="00770D21" w:rsidRDefault="00770D21" w:rsidP="00FD438A">
      <w:pPr>
        <w:ind w:left="142"/>
        <w:contextualSpacing/>
      </w:pPr>
      <w:r>
        <w:rPr>
          <w:rFonts w:ascii="Segoe UI Symbol" w:hAnsi="Segoe UI Symbol" w:cs="Segoe UI Symbol"/>
        </w:rPr>
        <w:t>❑</w:t>
      </w:r>
      <w:r>
        <w:rPr>
          <w:rFonts w:ascii="Segoe UI Symbol" w:hAnsi="Segoe UI Symbol" w:cs="Segoe UI Symbol"/>
        </w:rPr>
        <w:tab/>
      </w:r>
      <w:r>
        <w:t>Substrat und Inhibitor haben einen ähnlichen Siedepunkt</w:t>
      </w:r>
    </w:p>
    <w:p w14:paraId="1E277C87" w14:textId="636B95C3" w:rsidR="00770D21" w:rsidRDefault="00770D21" w:rsidP="00FD438A">
      <w:pPr>
        <w:ind w:left="142"/>
        <w:contextualSpacing/>
      </w:pPr>
      <w:r>
        <w:rPr>
          <w:rFonts w:ascii="Segoe UI Symbol" w:hAnsi="Segoe UI Symbol" w:cs="Segoe UI Symbol"/>
        </w:rPr>
        <w:t>❑</w:t>
      </w:r>
      <w:r>
        <w:rPr>
          <w:rFonts w:ascii="Segoe UI Symbol" w:hAnsi="Segoe UI Symbol" w:cs="Segoe UI Symbol"/>
        </w:rPr>
        <w:tab/>
      </w:r>
      <w:r>
        <w:t>Es sind analoge Wasserstoffbrücken möglich</w:t>
      </w:r>
    </w:p>
    <w:p w14:paraId="6BE1071B" w14:textId="315D4E0E" w:rsidR="00770D21" w:rsidRDefault="00770D21" w:rsidP="00FD438A">
      <w:pPr>
        <w:ind w:left="142"/>
        <w:contextualSpacing/>
      </w:pPr>
      <w:r>
        <w:rPr>
          <w:rFonts w:ascii="Segoe UI Symbol" w:hAnsi="Segoe UI Symbol" w:cs="Segoe UI Symbol"/>
        </w:rPr>
        <w:t>❑</w:t>
      </w:r>
      <w:r>
        <w:rPr>
          <w:rFonts w:ascii="Segoe UI Symbol" w:hAnsi="Segoe UI Symbol" w:cs="Segoe UI Symbol"/>
        </w:rPr>
        <w:tab/>
      </w:r>
      <w:r>
        <w:t>Die Moleküle bestehen aus genau denselben Atomsorten</w:t>
      </w:r>
    </w:p>
    <w:p w14:paraId="32DA7C43" w14:textId="63883E5C" w:rsidR="00770D21" w:rsidRDefault="00770D21" w:rsidP="00FD438A">
      <w:pPr>
        <w:ind w:left="142"/>
        <w:contextualSpacing/>
      </w:pPr>
      <w:r>
        <w:rPr>
          <w:rFonts w:ascii="Segoe UI Symbol" w:hAnsi="Segoe UI Symbol" w:cs="Segoe UI Symbol"/>
        </w:rPr>
        <w:t>❑</w:t>
      </w:r>
      <w:r>
        <w:rPr>
          <w:rFonts w:ascii="Segoe UI Symbol" w:hAnsi="Segoe UI Symbol" w:cs="Segoe UI Symbol"/>
        </w:rPr>
        <w:tab/>
      </w:r>
      <w:r>
        <w:t>Die Moleküle weisen ähnliche hydrophobe Bereiche auf</w:t>
      </w:r>
    </w:p>
    <w:p w14:paraId="0420C4D7" w14:textId="7CCD3000" w:rsidR="00FC1B21" w:rsidRDefault="00770D21" w:rsidP="00FD438A">
      <w:pPr>
        <w:ind w:left="142"/>
        <w:contextualSpacing/>
      </w:pPr>
      <w:r>
        <w:rPr>
          <w:rFonts w:ascii="Segoe UI Symbol" w:hAnsi="Segoe UI Symbol" w:cs="Segoe UI Symbol"/>
        </w:rPr>
        <w:t>❑</w:t>
      </w:r>
      <w:r>
        <w:rPr>
          <w:rFonts w:ascii="Segoe UI Symbol" w:hAnsi="Segoe UI Symbol" w:cs="Segoe UI Symbol"/>
        </w:rPr>
        <w:tab/>
      </w:r>
      <w:r>
        <w:t>Die Moleküle weisen eine ähnliche Verteilung der Partialladungen auf</w:t>
      </w:r>
    </w:p>
    <w:p w14:paraId="0F44F80A" w14:textId="77777777" w:rsidR="00FC1B21" w:rsidRPr="00FC1B21" w:rsidRDefault="00866389" w:rsidP="00FC1B21">
      <w:r>
        <w:pict w14:anchorId="7272F200">
          <v:rect id="_x0000_i1026" style="width:0;height:1.5pt" o:hralign="center" o:hrstd="t" o:hr="t" fillcolor="#a0a0a0" stroked="f"/>
        </w:pict>
      </w:r>
    </w:p>
    <w:p w14:paraId="63EC4B1B" w14:textId="2C67F219" w:rsidR="00FC1B21" w:rsidRPr="00FC1B21" w:rsidRDefault="00770D21" w:rsidP="00FC1B21">
      <w:r>
        <w:t xml:space="preserve">Schieben Sie nun also den Inhibitor </w:t>
      </w:r>
      <w:r w:rsidR="00FC1B21" w:rsidRPr="00FC1B21">
        <w:t xml:space="preserve">über das </w:t>
      </w:r>
      <w:r>
        <w:t xml:space="preserve">passende </w:t>
      </w:r>
      <w:r w:rsidR="00FC1B21" w:rsidRPr="00FC1B21">
        <w:t>Substrat. An dieser Position passt der Inhibitor dann genau ins Enzym, denn hier kann er dieselben Wechselwirkungen eingehen wie das Substrat.</w:t>
      </w:r>
    </w:p>
    <w:p w14:paraId="7B0A42D7" w14:textId="3AD5020F" w:rsidR="00FC1B21" w:rsidRPr="00FC1B21" w:rsidRDefault="00462713" w:rsidP="00FC1B21">
      <w:r>
        <w:t>In folgender Abbildung sehen Sie oben Sulfanilamid und darunter die beiden Substrate. Die linken Abbildungen zeigen jeweils die (Partial-)Ladungen der Teilchen (positiv: orange bis rot, negativ: cyan bis blau, neutral: grün)</w:t>
      </w:r>
      <w:r w:rsidR="00FC1B21" w:rsidRPr="00FC1B21">
        <w:t>.</w:t>
      </w:r>
    </w:p>
    <w:p w14:paraId="53B331DB" w14:textId="7186D2EF" w:rsidR="00FC1B21" w:rsidRPr="00FC1B21" w:rsidRDefault="00FC1B21" w:rsidP="00FC1B21">
      <w:r w:rsidRPr="00FC1B21">
        <w:rPr>
          <w:noProof/>
        </w:rPr>
        <w:lastRenderedPageBreak/>
        <w:drawing>
          <wp:inline distT="0" distB="0" distL="0" distR="0" wp14:anchorId="3EBADED0" wp14:editId="45949E39">
            <wp:extent cx="5760720" cy="4455795"/>
            <wp:effectExtent l="0" t="0" r="0" b="1905"/>
            <wp:docPr id="3" name="Grafik 3" descr="Sulfanilamid und die beiden Substra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lfanilamid und die beiden Substrat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455795"/>
                    </a:xfrm>
                    <a:prstGeom prst="rect">
                      <a:avLst/>
                    </a:prstGeom>
                    <a:noFill/>
                    <a:ln>
                      <a:noFill/>
                    </a:ln>
                  </pic:spPr>
                </pic:pic>
              </a:graphicData>
            </a:graphic>
          </wp:inline>
        </w:drawing>
      </w:r>
    </w:p>
    <w:p w14:paraId="1C8C9339" w14:textId="18BCC8F3" w:rsidR="00FC1B21" w:rsidRPr="00FC1B21" w:rsidRDefault="00FC1B21" w:rsidP="00FC1B21">
      <w:r w:rsidRPr="00FC1B21">
        <w:t>Abb. 5 Sulfanilamid (1) und die beiden Substrate 4-Aminobenzoat (2) und 6-Hydroxymethylpterin-diphosphat (2)</w:t>
      </w:r>
    </w:p>
    <w:p w14:paraId="57F8C46D" w14:textId="70DEFA1A" w:rsidR="00FC1B21" w:rsidRPr="00FC1B21" w:rsidRDefault="00FC1B21" w:rsidP="00FC1B21">
      <w:r w:rsidRPr="00FC1B21">
        <w:t>Vergleichen Sie die Substrate mit dem Inhibitor! Welcher Substrat sieht dem Inhibitor ähnlicher?</w:t>
      </w:r>
      <w:r w:rsidR="00462713">
        <w:t xml:space="preserve"> Inwiefern?</w:t>
      </w:r>
    </w:p>
    <w:p w14:paraId="4E54FF10" w14:textId="77777777" w:rsidR="00462713" w:rsidRDefault="00462713" w:rsidP="00FC1B21"/>
    <w:p w14:paraId="370B7B31" w14:textId="77777777" w:rsidR="00462713" w:rsidRDefault="00462713" w:rsidP="00FC1B21"/>
    <w:p w14:paraId="66323528" w14:textId="77777777" w:rsidR="00462713" w:rsidRDefault="00462713" w:rsidP="00FC1B21"/>
    <w:p w14:paraId="641C18E7" w14:textId="77777777" w:rsidR="00024631" w:rsidRDefault="00024631">
      <w:pPr>
        <w:spacing w:before="0" w:beforeAutospacing="0" w:after="160" w:afterAutospacing="0" w:line="259" w:lineRule="auto"/>
        <w:jc w:val="left"/>
        <w:rPr>
          <w:rFonts w:ascii="Times New Roman" w:hAnsi="Times New Roman" w:cs="Times New Roman"/>
          <w:b/>
          <w:bCs/>
        </w:rPr>
      </w:pPr>
      <w:r>
        <w:br w:type="page"/>
      </w:r>
    </w:p>
    <w:p w14:paraId="17B835DE" w14:textId="128A70F5" w:rsidR="00462713" w:rsidRPr="00024631" w:rsidRDefault="00024631" w:rsidP="00024631">
      <w:pPr>
        <w:pStyle w:val="berschrift3"/>
      </w:pPr>
      <w:r w:rsidRPr="00024631">
        <w:lastRenderedPageBreak/>
        <w:t>Docking</w:t>
      </w:r>
    </w:p>
    <w:p w14:paraId="43C56E2F" w14:textId="69C8C0B8" w:rsidR="00FC1B21" w:rsidRDefault="00FC1B21" w:rsidP="00024631">
      <w:r w:rsidRPr="00FC1B21">
        <w:t>Mit diesem Substrat müssen Sie den Inhibitor nun zur Deckung bringen. Arbeiten Sie sich dazu schrittweise durch folgende Anleitung.</w:t>
      </w:r>
    </w:p>
    <w:p w14:paraId="5596318D" w14:textId="77777777" w:rsidR="00024631" w:rsidRDefault="00024631" w:rsidP="00024631"/>
    <w:p w14:paraId="4C7076BE" w14:textId="49CD2481" w:rsidR="00024631" w:rsidRPr="00024631" w:rsidRDefault="00A937B1" w:rsidP="00024631">
      <w:pPr>
        <w:pStyle w:val="berschrift4"/>
      </w:pPr>
      <w:r>
        <w:t xml:space="preserve">A. </w:t>
      </w:r>
      <w:r w:rsidR="00024631" w:rsidRPr="00024631">
        <w:t>Grösse der Abbildung einstellen</w:t>
      </w:r>
    </w:p>
    <w:p w14:paraId="6E2DA3AE" w14:textId="3C0F49BA" w:rsidR="00FC1B21" w:rsidRPr="00FC1B21" w:rsidRDefault="00FC1B21" w:rsidP="00024631">
      <w:pPr>
        <w:pStyle w:val="Listenabsatz"/>
        <w:numPr>
          <w:ilvl w:val="0"/>
          <w:numId w:val="19"/>
        </w:numPr>
      </w:pPr>
      <w:r w:rsidRPr="00FC1B21">
        <w:t>Falls die Abbildung für Ihr Gerät zu gross oder zu klein ist, verändern Sie die Grösse mit den Buttons zuunterst auf der Seite:</w:t>
      </w:r>
    </w:p>
    <w:p w14:paraId="67ED3548" w14:textId="2FB532B4" w:rsidR="00FC1B21" w:rsidRDefault="00FC1B21" w:rsidP="00FC1B21">
      <w:r w:rsidRPr="00FC1B21">
        <w:rPr>
          <w:noProof/>
        </w:rPr>
        <w:drawing>
          <wp:inline distT="0" distB="0" distL="0" distR="0" wp14:anchorId="2202B24C" wp14:editId="06103B3E">
            <wp:extent cx="5760720" cy="1071880"/>
            <wp:effectExtent l="0" t="0" r="0" b="0"/>
            <wp:docPr id="2" name="Grafik 2" descr="Grösse veränder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össe veränder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071880"/>
                    </a:xfrm>
                    <a:prstGeom prst="rect">
                      <a:avLst/>
                    </a:prstGeom>
                    <a:noFill/>
                    <a:ln>
                      <a:noFill/>
                    </a:ln>
                  </pic:spPr>
                </pic:pic>
              </a:graphicData>
            </a:graphic>
          </wp:inline>
        </w:drawing>
      </w:r>
    </w:p>
    <w:p w14:paraId="5566F4C3" w14:textId="77777777" w:rsidR="00024631" w:rsidRDefault="00024631" w:rsidP="00FC1B21"/>
    <w:p w14:paraId="48B7E266" w14:textId="441BA588" w:rsidR="00024631" w:rsidRPr="00024631" w:rsidRDefault="00A937B1" w:rsidP="00024631">
      <w:pPr>
        <w:pStyle w:val="berschrift4"/>
      </w:pPr>
      <w:r>
        <w:t xml:space="preserve">B. </w:t>
      </w:r>
      <w:r w:rsidR="00024631">
        <w:t>Protein verbergen</w:t>
      </w:r>
    </w:p>
    <w:p w14:paraId="1F789E79" w14:textId="641F8BBE" w:rsidR="00024631" w:rsidRPr="00024631" w:rsidRDefault="00024631" w:rsidP="00024631">
      <w:pPr>
        <w:pStyle w:val="Listenabsatz"/>
        <w:numPr>
          <w:ilvl w:val="0"/>
          <w:numId w:val="19"/>
        </w:numPr>
      </w:pPr>
      <w:r w:rsidRPr="00024631">
        <w:t>Nun ist das Modell bereit für das Docken des Inhibitors. Damit das Protein bei dieser Arbeit nicht stört, machen Sie es am besten unsichtbar. Sie können es danach wieder zuschalten. Dies klappt mit folgendem Button.</w:t>
      </w:r>
    </w:p>
    <w:p w14:paraId="716452F5" w14:textId="698A647F" w:rsidR="00024631" w:rsidRDefault="00024631" w:rsidP="00024631">
      <w:pPr>
        <w:spacing w:before="0" w:beforeAutospacing="0" w:afterAutospacing="0"/>
        <w:jc w:val="left"/>
        <w:rPr>
          <w:rFonts w:ascii="Times New Roman" w:hAnsi="Times New Roman" w:cs="Times New Roman"/>
        </w:rPr>
      </w:pPr>
      <w:r w:rsidRPr="00024631">
        <w:rPr>
          <w:rFonts w:ascii="Times New Roman" w:hAnsi="Times New Roman" w:cs="Times New Roman"/>
          <w:noProof/>
          <w:color w:val="0000FF"/>
        </w:rPr>
        <w:drawing>
          <wp:inline distT="0" distB="0" distL="0" distR="0" wp14:anchorId="1005EC9B" wp14:editId="1678DDA6">
            <wp:extent cx="5760720" cy="1380490"/>
            <wp:effectExtent l="0" t="0" r="0" b="0"/>
            <wp:docPr id="21" name="Grafik 21" descr="Menü öffn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enü öffne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380490"/>
                    </a:xfrm>
                    <a:prstGeom prst="rect">
                      <a:avLst/>
                    </a:prstGeom>
                    <a:noFill/>
                    <a:ln>
                      <a:noFill/>
                    </a:ln>
                  </pic:spPr>
                </pic:pic>
              </a:graphicData>
            </a:graphic>
          </wp:inline>
        </w:drawing>
      </w:r>
    </w:p>
    <w:p w14:paraId="7D3E42DC" w14:textId="64B37D0C" w:rsidR="00024631" w:rsidRDefault="00024631" w:rsidP="00024631">
      <w:pPr>
        <w:spacing w:before="0" w:beforeAutospacing="0" w:afterAutospacing="0"/>
        <w:jc w:val="left"/>
        <w:rPr>
          <w:rFonts w:ascii="Times New Roman" w:hAnsi="Times New Roman" w:cs="Times New Roman"/>
        </w:rPr>
      </w:pPr>
    </w:p>
    <w:p w14:paraId="54D119C3" w14:textId="53F60C2E" w:rsidR="00024631" w:rsidRPr="00024631" w:rsidRDefault="00A937B1" w:rsidP="00024631">
      <w:pPr>
        <w:pStyle w:val="berschrift4"/>
      </w:pPr>
      <w:r>
        <w:t xml:space="preserve">C. </w:t>
      </w:r>
      <w:r w:rsidR="00024631">
        <w:t>Maussteuerung</w:t>
      </w:r>
    </w:p>
    <w:p w14:paraId="30CF7A64" w14:textId="0BD67D1E" w:rsidR="00024631" w:rsidRPr="00024631" w:rsidRDefault="00024631" w:rsidP="00024631">
      <w:pPr>
        <w:pStyle w:val="Listenabsatz"/>
        <w:numPr>
          <w:ilvl w:val="0"/>
          <w:numId w:val="19"/>
        </w:numPr>
      </w:pPr>
      <w:r w:rsidRPr="00024631">
        <w:t xml:space="preserve">Sie können nun die </w:t>
      </w:r>
      <w:r w:rsidRPr="00024631">
        <w:rPr>
          <w:i/>
          <w:iCs/>
        </w:rPr>
        <w:t>ganze Ansicht drehen</w:t>
      </w:r>
      <w:r w:rsidRPr="00024631">
        <w:t>, indem sie irgendwo mit der Maus neben die Moleküle klicken und dann ziehen. Die verschiedenen Möglichkeiten der Maussteuerung finden Sie hier.</w:t>
      </w:r>
    </w:p>
    <w:p w14:paraId="22970BB2" w14:textId="75AB843A" w:rsidR="00024631" w:rsidRPr="00024631" w:rsidRDefault="00024631" w:rsidP="00024631">
      <w:pPr>
        <w:spacing w:before="0" w:beforeAutospacing="0" w:after="0" w:afterAutospacing="0"/>
        <w:jc w:val="left"/>
        <w:rPr>
          <w:rFonts w:ascii="Times New Roman" w:hAnsi="Times New Roman" w:cs="Times New Roman"/>
        </w:rPr>
      </w:pPr>
      <w:r w:rsidRPr="00024631">
        <w:rPr>
          <w:rFonts w:ascii="Times New Roman" w:hAnsi="Times New Roman" w:cs="Times New Roman"/>
          <w:noProof/>
          <w:color w:val="0000FF"/>
        </w:rPr>
        <w:drawing>
          <wp:inline distT="0" distB="0" distL="0" distR="0" wp14:anchorId="4E52C176" wp14:editId="30D4FAF0">
            <wp:extent cx="5760720" cy="782320"/>
            <wp:effectExtent l="0" t="0" r="0" b="0"/>
            <wp:docPr id="20" name="Grafik 20" descr="Mausbefehl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usbefehl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82320"/>
                    </a:xfrm>
                    <a:prstGeom prst="rect">
                      <a:avLst/>
                    </a:prstGeom>
                    <a:noFill/>
                    <a:ln>
                      <a:noFill/>
                    </a:ln>
                  </pic:spPr>
                </pic:pic>
              </a:graphicData>
            </a:graphic>
          </wp:inline>
        </w:drawing>
      </w:r>
    </w:p>
    <w:p w14:paraId="17A87C71" w14:textId="114C6D86" w:rsidR="00024631" w:rsidRPr="00024631" w:rsidRDefault="00024631" w:rsidP="00024631">
      <w:pPr>
        <w:pStyle w:val="Listenabsatz"/>
        <w:numPr>
          <w:ilvl w:val="0"/>
          <w:numId w:val="19"/>
        </w:numPr>
      </w:pPr>
      <w:r w:rsidRPr="00024631">
        <w:lastRenderedPageBreak/>
        <w:t xml:space="preserve">Schalten sie nun mit dem Button „schieben &amp; drehen“ die </w:t>
      </w:r>
      <w:r w:rsidRPr="00024631">
        <w:rPr>
          <w:b/>
          <w:bCs/>
        </w:rPr>
        <w:t>Maus- und Touchsteuerung für einzelne Moleküle</w:t>
      </w:r>
      <w:r w:rsidRPr="00024631">
        <w:t xml:space="preserve"> ein.</w:t>
      </w:r>
    </w:p>
    <w:p w14:paraId="35BAA72F" w14:textId="5764CDD6" w:rsidR="00024631" w:rsidRPr="00024631" w:rsidRDefault="00024631" w:rsidP="00024631">
      <w:pPr>
        <w:spacing w:before="0" w:beforeAutospacing="0" w:after="0" w:afterAutospacing="0"/>
        <w:jc w:val="left"/>
        <w:rPr>
          <w:rFonts w:ascii="Times New Roman" w:hAnsi="Times New Roman" w:cs="Times New Roman"/>
        </w:rPr>
      </w:pPr>
      <w:r w:rsidRPr="00024631">
        <w:rPr>
          <w:rFonts w:ascii="Times New Roman" w:hAnsi="Times New Roman" w:cs="Times New Roman"/>
          <w:noProof/>
          <w:color w:val="0000FF"/>
        </w:rPr>
        <w:drawing>
          <wp:inline distT="0" distB="0" distL="0" distR="0" wp14:anchorId="57D4ACD3" wp14:editId="670F7768">
            <wp:extent cx="5760720" cy="1380490"/>
            <wp:effectExtent l="0" t="0" r="0" b="0"/>
            <wp:docPr id="19" name="Grafik 19" descr="Maus- und Tastensteueru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us- und Tastensteueru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380490"/>
                    </a:xfrm>
                    <a:prstGeom prst="rect">
                      <a:avLst/>
                    </a:prstGeom>
                    <a:noFill/>
                    <a:ln>
                      <a:noFill/>
                    </a:ln>
                  </pic:spPr>
                </pic:pic>
              </a:graphicData>
            </a:graphic>
          </wp:inline>
        </w:drawing>
      </w:r>
    </w:p>
    <w:p w14:paraId="54AC8F63" w14:textId="77777777" w:rsidR="00024631" w:rsidRPr="00024631" w:rsidRDefault="00024631" w:rsidP="00024631">
      <w:r w:rsidRPr="00024631">
        <w:t xml:space="preserve">Um das Molekül mit der Maus zu </w:t>
      </w:r>
      <w:r w:rsidRPr="00024631">
        <w:rPr>
          <w:b/>
          <w:bCs/>
        </w:rPr>
        <w:t>verschieben</w:t>
      </w:r>
      <w:r w:rsidRPr="00024631">
        <w:t>, klicken Sie es nun mit der linken Maustaste an und ziehen es.</w:t>
      </w:r>
    </w:p>
    <w:p w14:paraId="7B05B695" w14:textId="77777777" w:rsidR="00024631" w:rsidRPr="00024631" w:rsidRDefault="00024631" w:rsidP="00024631">
      <w:r w:rsidRPr="00024631">
        <w:t xml:space="preserve">Um ein Molekül zu </w:t>
      </w:r>
      <w:r w:rsidRPr="00024631">
        <w:rPr>
          <w:b/>
          <w:bCs/>
        </w:rPr>
        <w:t>drehen</w:t>
      </w:r>
      <w:r w:rsidRPr="00024631">
        <w:t xml:space="preserve">, drücken Sie die [alt] oder [option]-Taste, klicken </w:t>
      </w:r>
      <w:r w:rsidRPr="00024631">
        <w:rPr>
          <w:i/>
          <w:iCs/>
        </w:rPr>
        <w:t>dann</w:t>
      </w:r>
      <w:r w:rsidRPr="00024631">
        <w:t xml:space="preserve"> das Molekül mit der linken Maustaste an und bewegen nun die Maus. Um ein Molekül in der Papierebene zu drehen, muss man kreisförmige Bewegungen vollführen.</w:t>
      </w:r>
    </w:p>
    <w:p w14:paraId="253A685E" w14:textId="77777777" w:rsidR="00024631" w:rsidRPr="00024631" w:rsidRDefault="00024631" w:rsidP="00024631">
      <w:r w:rsidRPr="00024631">
        <w:t xml:space="preserve">Um das Molekül auf einem </w:t>
      </w:r>
      <w:r w:rsidRPr="00024631">
        <w:rPr>
          <w:b/>
          <w:bCs/>
        </w:rPr>
        <w:t>Touchscreen</w:t>
      </w:r>
      <w:r w:rsidRPr="00024631">
        <w:t xml:space="preserve"> mit den Fingern zu </w:t>
      </w:r>
      <w:r w:rsidRPr="00024631">
        <w:rPr>
          <w:i/>
          <w:iCs/>
        </w:rPr>
        <w:t>verschieben</w:t>
      </w:r>
      <w:r w:rsidRPr="00024631">
        <w:t xml:space="preserve">, verwenden Sie ebenfalls den Button [schieben &amp; drehen], um das Molekül zu </w:t>
      </w:r>
      <w:r w:rsidRPr="00024631">
        <w:rPr>
          <w:i/>
          <w:iCs/>
        </w:rPr>
        <w:t>drehen</w:t>
      </w:r>
      <w:r w:rsidRPr="00024631">
        <w:t>, verwenden Sie den Button [nur drehen].</w:t>
      </w:r>
    </w:p>
    <w:p w14:paraId="4CC2A9E7" w14:textId="77777777" w:rsidR="00024631" w:rsidRPr="00024631" w:rsidRDefault="00024631" w:rsidP="00024631">
      <w:r w:rsidRPr="00024631">
        <w:t>Durch gewisse Ereignisse wird die Steuerung ausgeschaltet. Aktivieren Sie sie dann einfach wieder durch Anklicken des Buttons.</w:t>
      </w:r>
    </w:p>
    <w:p w14:paraId="62FCCEE5" w14:textId="198D7874" w:rsidR="00024631" w:rsidRPr="00024631" w:rsidRDefault="00024631" w:rsidP="00024631">
      <w:pPr>
        <w:pStyle w:val="Listenabsatz"/>
        <w:numPr>
          <w:ilvl w:val="0"/>
          <w:numId w:val="19"/>
        </w:numPr>
      </w:pPr>
      <w:r w:rsidRPr="00024631">
        <w:t xml:space="preserve">Falls Sie </w:t>
      </w:r>
      <w:r w:rsidRPr="00024631">
        <w:rPr>
          <w:b/>
          <w:bCs/>
        </w:rPr>
        <w:t>versehentlich das falsche Molekül</w:t>
      </w:r>
      <w:r w:rsidRPr="00024631">
        <w:t xml:space="preserve"> oder das Protein bewegt haben, können Sie sie mit dem Button [Protein und Substrat zurücksetzen] wieder an die richtige Position zurückschieben und drehen:</w:t>
      </w:r>
    </w:p>
    <w:p w14:paraId="179A0814" w14:textId="25AC37BE" w:rsidR="00024631" w:rsidRDefault="00024631" w:rsidP="00024631">
      <w:pPr>
        <w:spacing w:before="0" w:beforeAutospacing="0" w:after="0" w:afterAutospacing="0"/>
        <w:jc w:val="left"/>
        <w:rPr>
          <w:rFonts w:ascii="Times New Roman" w:hAnsi="Times New Roman" w:cs="Times New Roman"/>
        </w:rPr>
      </w:pPr>
      <w:r w:rsidRPr="00024631">
        <w:rPr>
          <w:rFonts w:ascii="Times New Roman" w:hAnsi="Times New Roman" w:cs="Times New Roman"/>
          <w:noProof/>
          <w:color w:val="0000FF"/>
        </w:rPr>
        <w:drawing>
          <wp:inline distT="0" distB="0" distL="0" distR="0" wp14:anchorId="14F6F625" wp14:editId="10B512CC">
            <wp:extent cx="5760720" cy="1380490"/>
            <wp:effectExtent l="0" t="0" r="0" b="0"/>
            <wp:docPr id="18" name="Grafik 18" descr="Teilchen zurücksetze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eilchen zurücksetze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380490"/>
                    </a:xfrm>
                    <a:prstGeom prst="rect">
                      <a:avLst/>
                    </a:prstGeom>
                    <a:noFill/>
                    <a:ln>
                      <a:noFill/>
                    </a:ln>
                  </pic:spPr>
                </pic:pic>
              </a:graphicData>
            </a:graphic>
          </wp:inline>
        </w:drawing>
      </w:r>
    </w:p>
    <w:p w14:paraId="5AE33848" w14:textId="77777777" w:rsidR="00024631" w:rsidRPr="00024631" w:rsidRDefault="00024631" w:rsidP="00024631">
      <w:pPr>
        <w:spacing w:before="0" w:beforeAutospacing="0" w:after="0" w:afterAutospacing="0"/>
        <w:jc w:val="left"/>
        <w:rPr>
          <w:rFonts w:ascii="Times New Roman" w:hAnsi="Times New Roman" w:cs="Times New Roman"/>
        </w:rPr>
      </w:pPr>
    </w:p>
    <w:p w14:paraId="5E2B2866" w14:textId="77777777" w:rsidR="00712AF9" w:rsidRDefault="00712AF9">
      <w:pPr>
        <w:spacing w:before="0" w:beforeAutospacing="0" w:after="160" w:afterAutospacing="0" w:line="259" w:lineRule="auto"/>
        <w:jc w:val="left"/>
        <w:rPr>
          <w:b/>
          <w:bCs/>
          <w:i/>
          <w:iCs/>
        </w:rPr>
      </w:pPr>
      <w:r>
        <w:br w:type="page"/>
      </w:r>
    </w:p>
    <w:p w14:paraId="09F0547D" w14:textId="21D463C3" w:rsidR="00024631" w:rsidRDefault="00A937B1" w:rsidP="00024631">
      <w:pPr>
        <w:pStyle w:val="berschrift4"/>
      </w:pPr>
      <w:r>
        <w:lastRenderedPageBreak/>
        <w:t xml:space="preserve">D. </w:t>
      </w:r>
      <w:r w:rsidR="00024631">
        <w:t>Docking</w:t>
      </w:r>
    </w:p>
    <w:p w14:paraId="7B5525E0" w14:textId="333C5073" w:rsidR="00024631" w:rsidRPr="00024631" w:rsidRDefault="00024631" w:rsidP="00024631">
      <w:pPr>
        <w:pStyle w:val="Listenabsatz"/>
        <w:numPr>
          <w:ilvl w:val="0"/>
          <w:numId w:val="19"/>
        </w:numPr>
      </w:pPr>
      <w:r w:rsidRPr="00024631">
        <w:t>Passen Sie nun den Inhibitor auf dieses Substrat. Überlegen Sie sich zuerst, welches Atom im Substrat dem S-Atom im Inhibitor entspricht.</w:t>
      </w:r>
    </w:p>
    <w:p w14:paraId="0C9AF3D2" w14:textId="77777777" w:rsidR="00024631" w:rsidRPr="00024631" w:rsidRDefault="00024631" w:rsidP="00024631">
      <w:r w:rsidRPr="00024631">
        <w:t>In den nächsten Schritten schieben Sie das S-Atom des Inhibitors genau an diese Stelle. Danach brauchen Sie den Inhibitor nur noch zu drehen (sein Drehzentrum liegt im S-Atom):</w:t>
      </w:r>
    </w:p>
    <w:p w14:paraId="2F887311" w14:textId="557A39AE" w:rsidR="00024631" w:rsidRPr="00024631" w:rsidRDefault="00024631" w:rsidP="00024631">
      <w:pPr>
        <w:pStyle w:val="Listenabsatz"/>
        <w:numPr>
          <w:ilvl w:val="0"/>
          <w:numId w:val="19"/>
        </w:numPr>
      </w:pPr>
      <w:r w:rsidRPr="00024631">
        <w:t>Ziehen Sie nun das S-Atom des Inbitigors genau auf das entsprechende Atom im Substrat. (Erste Zeile in der nachstehenden aufklappbaren Abbildung, die das Vorgehen illustriert, allerdings mit Nitrobenzen statt dem Substrat)</w:t>
      </w:r>
    </w:p>
    <w:p w14:paraId="20B31A5C" w14:textId="4F4AB139" w:rsidR="00024631" w:rsidRPr="00024631" w:rsidRDefault="00024631" w:rsidP="00024631">
      <w:pPr>
        <w:pStyle w:val="Listenabsatz"/>
        <w:numPr>
          <w:ilvl w:val="0"/>
          <w:numId w:val="19"/>
        </w:numPr>
      </w:pPr>
      <w:r w:rsidRPr="00024631">
        <w:t>Zentrieren Sie nun das Bild neu</w:t>
      </w:r>
    </w:p>
    <w:p w14:paraId="12070455" w14:textId="072C309A" w:rsidR="00024631" w:rsidRPr="00024631" w:rsidRDefault="00024631" w:rsidP="00024631">
      <w:r w:rsidRPr="00024631">
        <w:rPr>
          <w:noProof/>
          <w:color w:val="0000FF"/>
        </w:rPr>
        <w:drawing>
          <wp:inline distT="0" distB="0" distL="0" distR="0" wp14:anchorId="614D9499" wp14:editId="14B88DFF">
            <wp:extent cx="5760720" cy="1380490"/>
            <wp:effectExtent l="0" t="0" r="0" b="0"/>
            <wp:docPr id="17" name="Grafik 17" descr="Bild zentrier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ild zentriere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380490"/>
                    </a:xfrm>
                    <a:prstGeom prst="rect">
                      <a:avLst/>
                    </a:prstGeom>
                    <a:noFill/>
                    <a:ln>
                      <a:noFill/>
                    </a:ln>
                  </pic:spPr>
                </pic:pic>
              </a:graphicData>
            </a:graphic>
          </wp:inline>
        </w:drawing>
      </w:r>
    </w:p>
    <w:p w14:paraId="323DDA3E" w14:textId="714FD583" w:rsidR="00024631" w:rsidRPr="00024631" w:rsidRDefault="00024631" w:rsidP="00024631">
      <w:pPr>
        <w:pStyle w:val="Listenabsatz"/>
        <w:numPr>
          <w:ilvl w:val="0"/>
          <w:numId w:val="19"/>
        </w:numPr>
      </w:pPr>
      <w:r w:rsidRPr="00024631">
        <w:t>Drehen Sie die Abbildung mit einem der folgenden Knöpfe genau um 90°:</w:t>
      </w:r>
    </w:p>
    <w:p w14:paraId="09EA3A31" w14:textId="22ED2847" w:rsidR="00024631" w:rsidRPr="00024631" w:rsidRDefault="00024631" w:rsidP="00024631">
      <w:r w:rsidRPr="00024631">
        <w:rPr>
          <w:noProof/>
          <w:color w:val="0000FF"/>
        </w:rPr>
        <w:drawing>
          <wp:inline distT="0" distB="0" distL="0" distR="0" wp14:anchorId="784AA365" wp14:editId="56520095">
            <wp:extent cx="5760720" cy="1380490"/>
            <wp:effectExtent l="0" t="0" r="0" b="0"/>
            <wp:docPr id="16" name="Grafik 16" descr="Ansicht rotiere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nsicht rotiere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380490"/>
                    </a:xfrm>
                    <a:prstGeom prst="rect">
                      <a:avLst/>
                    </a:prstGeom>
                    <a:noFill/>
                    <a:ln>
                      <a:noFill/>
                    </a:ln>
                  </pic:spPr>
                </pic:pic>
              </a:graphicData>
            </a:graphic>
          </wp:inline>
        </w:drawing>
      </w:r>
    </w:p>
    <w:p w14:paraId="79C73015" w14:textId="6A81A158" w:rsidR="00024631" w:rsidRPr="00024631" w:rsidRDefault="00024631" w:rsidP="00024631">
      <w:pPr>
        <w:pStyle w:val="Listenabsatz"/>
        <w:numPr>
          <w:ilvl w:val="0"/>
          <w:numId w:val="19"/>
        </w:numPr>
      </w:pPr>
      <w:r w:rsidRPr="00024631">
        <w:t>Ziehen Sie das S-Atom des Inhibitors wieder genau an die richtige Stelle und zentrieren Sie das Bild wieder.</w:t>
      </w:r>
    </w:p>
    <w:p w14:paraId="698C7E00" w14:textId="77777777" w:rsidR="00024631" w:rsidRPr="00024631" w:rsidRDefault="00024631" w:rsidP="00024631">
      <w:r w:rsidRPr="00024631">
        <w:t>Wenn Sie die Abbildung beim vorherigen Schritt genau um 90° gedreht haben, liegt das S-Atom nun bereits genau richtig. Andernfalls müssen sie unter Umständen die vorhergehenden drei Schritte einige Male wiederholen, bis das S-Atom richtig positioniert ist.</w:t>
      </w:r>
    </w:p>
    <w:p w14:paraId="4DCAC740" w14:textId="41BDEE93" w:rsidR="00024631" w:rsidRPr="00024631" w:rsidRDefault="00024631" w:rsidP="00024631">
      <w:pPr>
        <w:pStyle w:val="Listenabsatz"/>
        <w:numPr>
          <w:ilvl w:val="0"/>
          <w:numId w:val="19"/>
        </w:numPr>
      </w:pPr>
      <w:r w:rsidRPr="00024631">
        <w:rPr>
          <w:b/>
          <w:bCs/>
        </w:rPr>
        <w:t>Drehen Sie nun den Inhibitor</w:t>
      </w:r>
      <w:r w:rsidRPr="00024631">
        <w:t xml:space="preserve">, bis er in korrekter Ausrichtung über dem Substrat liegt: Drücken Sie [alt] bzw. [option], klicken Sie auf das Inhibitor-Molekül, ziehen sie mit der Maus oder und vollführen Sie kleine Kreise. Wenn Sie keine Alt-Taste drücken wollen oder können (z.B. auf einem Tablet), so klicken Sie auf </w:t>
      </w:r>
      <w:r w:rsidRPr="00024631">
        <w:rPr>
          <w:i/>
          <w:iCs/>
        </w:rPr>
        <w:t>[nur drehen]</w:t>
      </w:r>
      <w:r w:rsidRPr="00024631">
        <w:t xml:space="preserve"> (statt [schieben &amp; drehen]).</w:t>
      </w:r>
    </w:p>
    <w:p w14:paraId="774AC8C0" w14:textId="1D152272" w:rsidR="00024631" w:rsidRPr="00024631" w:rsidRDefault="00024631" w:rsidP="00024631">
      <w:pPr>
        <w:pStyle w:val="Listenabsatz"/>
        <w:numPr>
          <w:ilvl w:val="0"/>
          <w:numId w:val="19"/>
        </w:numPr>
      </w:pPr>
      <w:r w:rsidRPr="00024631">
        <w:t>Drehen sie dann die Abbildung erneut und kontrollieren Sie, ob der Inhibitor bereits korrekt liegt.</w:t>
      </w:r>
    </w:p>
    <w:p w14:paraId="61BD8428" w14:textId="77777777" w:rsidR="00712AF9" w:rsidRDefault="00712AF9">
      <w:pPr>
        <w:spacing w:before="0" w:beforeAutospacing="0" w:after="160" w:afterAutospacing="0" w:line="259" w:lineRule="auto"/>
        <w:jc w:val="left"/>
        <w:rPr>
          <w:b/>
          <w:bCs/>
        </w:rPr>
      </w:pPr>
      <w:r>
        <w:rPr>
          <w:b/>
          <w:bCs/>
        </w:rPr>
        <w:br w:type="page"/>
      </w:r>
    </w:p>
    <w:p w14:paraId="0B045A2D" w14:textId="6E057099" w:rsidR="00024631" w:rsidRDefault="00024631" w:rsidP="00712AF9">
      <w:pPr>
        <w:pStyle w:val="berschrift4"/>
      </w:pPr>
      <w:r w:rsidRPr="00024631">
        <w:lastRenderedPageBreak/>
        <w:t>Abbildung zum Vorgehen</w:t>
      </w:r>
    </w:p>
    <w:p w14:paraId="6187BCC7" w14:textId="0D5417D8" w:rsidR="00712AF9" w:rsidRDefault="00712AF9" w:rsidP="00024631">
      <w:r>
        <w:rPr>
          <w:noProof/>
        </w:rPr>
        <w:drawing>
          <wp:inline distT="0" distB="0" distL="0" distR="0" wp14:anchorId="15C2E673" wp14:editId="0FD1E2A0">
            <wp:extent cx="5760720" cy="8148320"/>
            <wp:effectExtent l="0" t="0" r="0" b="5080"/>
            <wp:docPr id="23" name="Grafik 23" descr="Schrittweises Vorg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chrittweises Vorgeh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3B45561D" w14:textId="77777777" w:rsidR="00712AF9" w:rsidRDefault="00712AF9">
      <w:pPr>
        <w:spacing w:before="0" w:beforeAutospacing="0" w:after="160" w:afterAutospacing="0" w:line="259" w:lineRule="auto"/>
        <w:jc w:val="left"/>
        <w:rPr>
          <w:b/>
          <w:bCs/>
          <w:i/>
          <w:iCs/>
        </w:rPr>
      </w:pPr>
      <w:r>
        <w:br w:type="page"/>
      </w:r>
    </w:p>
    <w:p w14:paraId="6E237EB3" w14:textId="42D5EEF7" w:rsidR="00712AF9" w:rsidRPr="00024631" w:rsidRDefault="00A937B1" w:rsidP="00712AF9">
      <w:pPr>
        <w:pStyle w:val="berschrift4"/>
      </w:pPr>
      <w:r>
        <w:lastRenderedPageBreak/>
        <w:t xml:space="preserve">E. </w:t>
      </w:r>
      <w:r w:rsidR="00712AF9">
        <w:t>Überprüfen und Wasserstoffbrücken einzeichnen</w:t>
      </w:r>
    </w:p>
    <w:p w14:paraId="41041D88" w14:textId="45F51BA8" w:rsidR="00024631" w:rsidRPr="00024631" w:rsidRDefault="00024631" w:rsidP="00712AF9">
      <w:pPr>
        <w:pStyle w:val="Listenabsatz"/>
        <w:numPr>
          <w:ilvl w:val="0"/>
          <w:numId w:val="19"/>
        </w:numPr>
      </w:pPr>
      <w:r w:rsidRPr="00024631">
        <w:t>Überprüfen Sie nun Ihre Lösung mit dem gelben Knopf unter der Abbildung [Lösung überprüfen].</w:t>
      </w:r>
    </w:p>
    <w:p w14:paraId="55EDB230" w14:textId="130DF524" w:rsidR="00024631" w:rsidRDefault="00024631" w:rsidP="00024631">
      <w:r w:rsidRPr="00024631">
        <w:rPr>
          <w:noProof/>
          <w:color w:val="0000FF"/>
        </w:rPr>
        <w:drawing>
          <wp:inline distT="0" distB="0" distL="0" distR="0" wp14:anchorId="626B5685" wp14:editId="507C2218">
            <wp:extent cx="5760720" cy="1071880"/>
            <wp:effectExtent l="0" t="0" r="0" b="0"/>
            <wp:docPr id="15" name="Grafik 15" descr="Lösung überprüfe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ösung überprüfe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071880"/>
                    </a:xfrm>
                    <a:prstGeom prst="rect">
                      <a:avLst/>
                    </a:prstGeom>
                    <a:noFill/>
                    <a:ln>
                      <a:noFill/>
                    </a:ln>
                  </pic:spPr>
                </pic:pic>
              </a:graphicData>
            </a:graphic>
          </wp:inline>
        </w:drawing>
      </w:r>
    </w:p>
    <w:p w14:paraId="19822060" w14:textId="77777777" w:rsidR="00712AF9" w:rsidRPr="00024631" w:rsidRDefault="00712AF9" w:rsidP="00024631"/>
    <w:p w14:paraId="1AD9B5BB" w14:textId="7620966C" w:rsidR="00024631" w:rsidRPr="00024631" w:rsidRDefault="00024631" w:rsidP="00712AF9">
      <w:pPr>
        <w:pStyle w:val="Listenabsatz"/>
        <w:numPr>
          <w:ilvl w:val="0"/>
          <w:numId w:val="19"/>
        </w:numPr>
      </w:pPr>
      <w:r w:rsidRPr="00024631">
        <w:t>Falls die Lösung stimmt: Schalten Sie zuerst das Bewegen des Sulfanilamides aus (damit keine Unfälle passieren…):</w:t>
      </w:r>
    </w:p>
    <w:p w14:paraId="2D1D75B1" w14:textId="3020C27E" w:rsidR="00024631" w:rsidRDefault="00024631" w:rsidP="00024631">
      <w:r w:rsidRPr="00024631">
        <w:rPr>
          <w:noProof/>
          <w:color w:val="0000FF"/>
        </w:rPr>
        <w:drawing>
          <wp:inline distT="0" distB="0" distL="0" distR="0" wp14:anchorId="4AE31DD5" wp14:editId="605D89C3">
            <wp:extent cx="5760720" cy="1380490"/>
            <wp:effectExtent l="0" t="0" r="0" b="0"/>
            <wp:docPr id="14" name="Grafik 14" descr="Seitenketten und Wasserstoffbrücke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eitenketten und Wasserstoffbrücke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380490"/>
                    </a:xfrm>
                    <a:prstGeom prst="rect">
                      <a:avLst/>
                    </a:prstGeom>
                    <a:noFill/>
                    <a:ln>
                      <a:noFill/>
                    </a:ln>
                  </pic:spPr>
                </pic:pic>
              </a:graphicData>
            </a:graphic>
          </wp:inline>
        </w:drawing>
      </w:r>
    </w:p>
    <w:p w14:paraId="73D2176A" w14:textId="77777777" w:rsidR="00712AF9" w:rsidRPr="00024631" w:rsidRDefault="00712AF9" w:rsidP="00024631"/>
    <w:p w14:paraId="5E38C7F6" w14:textId="253C9CD2" w:rsidR="00024631" w:rsidRPr="00024631" w:rsidRDefault="00024631" w:rsidP="00712AF9">
      <w:pPr>
        <w:pStyle w:val="Listenabsatz"/>
        <w:numPr>
          <w:ilvl w:val="0"/>
          <w:numId w:val="19"/>
        </w:numPr>
      </w:pPr>
      <w:r w:rsidRPr="00024631">
        <w:t>Schalten Sie nun die hydrophilen Aminosäuren des katalytischen Zentrums ein. Lassen Sie dann die Wasserstoffbrücken einzeichnen.</w:t>
      </w:r>
    </w:p>
    <w:p w14:paraId="435C1F34" w14:textId="5DD92DD3" w:rsidR="00024631" w:rsidRDefault="00024631" w:rsidP="00024631">
      <w:r w:rsidRPr="00024631">
        <w:rPr>
          <w:noProof/>
          <w:color w:val="0000FF"/>
        </w:rPr>
        <w:drawing>
          <wp:inline distT="0" distB="0" distL="0" distR="0" wp14:anchorId="05FC5557" wp14:editId="754C6CEC">
            <wp:extent cx="5760720" cy="1380490"/>
            <wp:effectExtent l="0" t="0" r="0" b="0"/>
            <wp:docPr id="13" name="Grafik 13" descr="Seitenketten und Wasserstoffbrück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eitenketten und Wasserstoffbrücken">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380490"/>
                    </a:xfrm>
                    <a:prstGeom prst="rect">
                      <a:avLst/>
                    </a:prstGeom>
                    <a:noFill/>
                    <a:ln>
                      <a:noFill/>
                    </a:ln>
                  </pic:spPr>
                </pic:pic>
              </a:graphicData>
            </a:graphic>
          </wp:inline>
        </w:drawing>
      </w:r>
    </w:p>
    <w:p w14:paraId="6FBFDC47" w14:textId="77777777" w:rsidR="00712AF9" w:rsidRPr="00024631" w:rsidRDefault="00712AF9" w:rsidP="00024631"/>
    <w:p w14:paraId="4025EAE0" w14:textId="42CD4FFA" w:rsidR="00024631" w:rsidRPr="00024631" w:rsidRDefault="00024631" w:rsidP="00712AF9">
      <w:pPr>
        <w:pStyle w:val="Listenabsatz"/>
        <w:numPr>
          <w:ilvl w:val="0"/>
          <w:numId w:val="19"/>
        </w:numPr>
      </w:pPr>
      <w:r w:rsidRPr="00024631">
        <w:t>Von wie vielen Wasserstoffbrücken wird der Inhibitor im Enyzm fixiert? Von wie vielen Wasserstoffbrücken wird das Substrat im Enzym fixiert? Dokumentieren Sie Ihre Antwort mit Screenshots. Verbessern Sie die Ansicht aber vorher noch mit [Antialiasing]</w:t>
      </w:r>
    </w:p>
    <w:p w14:paraId="09B07D2D" w14:textId="283BC510" w:rsidR="00024631" w:rsidRPr="00024631" w:rsidRDefault="00024631" w:rsidP="00024631">
      <w:r w:rsidRPr="00024631">
        <w:rPr>
          <w:noProof/>
          <w:color w:val="0000FF"/>
        </w:rPr>
        <w:lastRenderedPageBreak/>
        <w:drawing>
          <wp:inline distT="0" distB="0" distL="0" distR="0" wp14:anchorId="3C629FBB" wp14:editId="14E4CA90">
            <wp:extent cx="5760720" cy="2934970"/>
            <wp:effectExtent l="0" t="0" r="0" b="0"/>
            <wp:docPr id="12" name="Grafik 12" descr="Ansich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nsich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934970"/>
                    </a:xfrm>
                    <a:prstGeom prst="rect">
                      <a:avLst/>
                    </a:prstGeom>
                    <a:noFill/>
                    <a:ln>
                      <a:noFill/>
                    </a:ln>
                  </pic:spPr>
                </pic:pic>
              </a:graphicData>
            </a:graphic>
          </wp:inline>
        </w:drawing>
      </w:r>
    </w:p>
    <w:p w14:paraId="200B899A" w14:textId="77777777" w:rsidR="00024631" w:rsidRDefault="00024631" w:rsidP="00FC1B21"/>
    <w:p w14:paraId="0E7E8E2C" w14:textId="77777777" w:rsidR="00712AF9" w:rsidRDefault="00FC1B21" w:rsidP="00712AF9">
      <w:pPr>
        <w:pStyle w:val="berschrift3"/>
      </w:pPr>
      <w:r w:rsidRPr="00FC1B21">
        <w:t>Quellen</w:t>
      </w:r>
      <w:r w:rsidR="00712AF9">
        <w:t xml:space="preserve"> </w:t>
      </w:r>
    </w:p>
    <w:p w14:paraId="4A2E5130" w14:textId="346A0B0B" w:rsidR="00FC1B21" w:rsidRPr="00FC1B21" w:rsidRDefault="00712AF9" w:rsidP="00FC1B21">
      <w:r>
        <w:t>[1]</w:t>
      </w:r>
      <w:r>
        <w:tab/>
      </w:r>
      <w:hyperlink r:id="rId41" w:history="1">
        <w:r w:rsidRPr="005D2939">
          <w:rPr>
            <w:rStyle w:val="Hyperlink"/>
          </w:rPr>
          <w:t>https://de.wikipedia.org/wiki/Sulfanilamid</w:t>
        </w:r>
      </w:hyperlink>
    </w:p>
    <w:p w14:paraId="4C2316D5" w14:textId="50EFC85C" w:rsidR="00FC1B21" w:rsidRPr="00FC1B21" w:rsidRDefault="00712AF9" w:rsidP="00FC1B21">
      <w:r>
        <w:t>[2]</w:t>
      </w:r>
      <w:r>
        <w:tab/>
      </w:r>
      <w:hyperlink r:id="rId42" w:history="1">
        <w:r w:rsidRPr="005D2939">
          <w:rPr>
            <w:rStyle w:val="Hyperlink"/>
          </w:rPr>
          <w:t>https://en.wikipedia.org/wiki/Staphylococcus_aureus</w:t>
        </w:r>
      </w:hyperlink>
    </w:p>
    <w:sectPr w:rsidR="00FC1B21" w:rsidRPr="00FC1B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4E532" w14:textId="77777777" w:rsidR="00866389" w:rsidRDefault="00866389" w:rsidP="00FC1B21">
      <w:pPr>
        <w:spacing w:before="0" w:after="0"/>
      </w:pPr>
      <w:r>
        <w:separator/>
      </w:r>
    </w:p>
  </w:endnote>
  <w:endnote w:type="continuationSeparator" w:id="0">
    <w:p w14:paraId="5B983758" w14:textId="77777777" w:rsidR="00866389" w:rsidRDefault="00866389" w:rsidP="00FC1B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A51D0" w14:textId="77777777" w:rsidR="00866389" w:rsidRDefault="00866389" w:rsidP="00FC1B21">
      <w:pPr>
        <w:spacing w:before="0" w:after="0"/>
      </w:pPr>
      <w:r>
        <w:separator/>
      </w:r>
    </w:p>
  </w:footnote>
  <w:footnote w:type="continuationSeparator" w:id="0">
    <w:p w14:paraId="639B4ED7" w14:textId="77777777" w:rsidR="00866389" w:rsidRDefault="00866389" w:rsidP="00FC1B21">
      <w:pPr>
        <w:spacing w:before="0" w:after="0"/>
      </w:pPr>
      <w:r>
        <w:continuationSeparator/>
      </w:r>
    </w:p>
  </w:footnote>
  <w:footnote w:id="1">
    <w:p w14:paraId="69C5B77C" w14:textId="31C66A79" w:rsidR="00712AF9" w:rsidRDefault="00712AF9">
      <w:pPr>
        <w:pStyle w:val="Funotentext"/>
      </w:pPr>
      <w:r>
        <w:rPr>
          <w:rStyle w:val="Funotenzeichen"/>
        </w:rPr>
        <w:footnoteRef/>
      </w:r>
      <w:r>
        <w:t xml:space="preserve"> Die Abkürzung pABA leitet sich vom englischen Namen der konjugierten Säure ab: p-aminobenzoic acid.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06175"/>
    <w:multiLevelType w:val="multilevel"/>
    <w:tmpl w:val="2C620B4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56542"/>
    <w:multiLevelType w:val="multilevel"/>
    <w:tmpl w:val="A4AE4BF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4E0411"/>
    <w:multiLevelType w:val="multilevel"/>
    <w:tmpl w:val="44DC1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9E5A24"/>
    <w:multiLevelType w:val="multilevel"/>
    <w:tmpl w:val="A9301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434915"/>
    <w:multiLevelType w:val="multilevel"/>
    <w:tmpl w:val="F320C8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A23B89"/>
    <w:multiLevelType w:val="multilevel"/>
    <w:tmpl w:val="93B042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345A6B"/>
    <w:multiLevelType w:val="multilevel"/>
    <w:tmpl w:val="263635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9E530A"/>
    <w:multiLevelType w:val="multilevel"/>
    <w:tmpl w:val="CD0021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E03403"/>
    <w:multiLevelType w:val="multilevel"/>
    <w:tmpl w:val="351E3E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8B6B5C"/>
    <w:multiLevelType w:val="hybridMultilevel"/>
    <w:tmpl w:val="909C397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7AB4762"/>
    <w:multiLevelType w:val="multilevel"/>
    <w:tmpl w:val="573C1CB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CC1D12"/>
    <w:multiLevelType w:val="multilevel"/>
    <w:tmpl w:val="E34A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436938"/>
    <w:multiLevelType w:val="multilevel"/>
    <w:tmpl w:val="AA029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3B0604"/>
    <w:multiLevelType w:val="multilevel"/>
    <w:tmpl w:val="E8DCED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03392D"/>
    <w:multiLevelType w:val="hybridMultilevel"/>
    <w:tmpl w:val="6C80D6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42C6595"/>
    <w:multiLevelType w:val="multilevel"/>
    <w:tmpl w:val="B66259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A7370A"/>
    <w:multiLevelType w:val="multilevel"/>
    <w:tmpl w:val="5BDA1BE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8F5BC3"/>
    <w:multiLevelType w:val="hybridMultilevel"/>
    <w:tmpl w:val="44A250E6"/>
    <w:lvl w:ilvl="0" w:tplc="08070001">
      <w:numFmt w:val="bullet"/>
      <w:lvlText w:val=""/>
      <w:lvlJc w:val="left"/>
      <w:pPr>
        <w:ind w:left="720" w:hanging="360"/>
      </w:pPr>
      <w:rPr>
        <w:rFonts w:ascii="Symbol" w:eastAsia="Times New Roman" w:hAnsi="Symbol"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FB2203A"/>
    <w:multiLevelType w:val="multilevel"/>
    <w:tmpl w:val="EBCECB3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7"/>
  </w:num>
  <w:num w:numId="3">
    <w:abstractNumId w:val="11"/>
  </w:num>
  <w:num w:numId="4">
    <w:abstractNumId w:val="14"/>
  </w:num>
  <w:num w:numId="5">
    <w:abstractNumId w:val="12"/>
  </w:num>
  <w:num w:numId="6">
    <w:abstractNumId w:val="5"/>
  </w:num>
  <w:num w:numId="7">
    <w:abstractNumId w:val="2"/>
  </w:num>
  <w:num w:numId="8">
    <w:abstractNumId w:val="15"/>
  </w:num>
  <w:num w:numId="9">
    <w:abstractNumId w:val="4"/>
  </w:num>
  <w:num w:numId="10">
    <w:abstractNumId w:val="6"/>
  </w:num>
  <w:num w:numId="11">
    <w:abstractNumId w:val="8"/>
  </w:num>
  <w:num w:numId="12">
    <w:abstractNumId w:val="13"/>
  </w:num>
  <w:num w:numId="13">
    <w:abstractNumId w:val="7"/>
  </w:num>
  <w:num w:numId="14">
    <w:abstractNumId w:val="16"/>
  </w:num>
  <w:num w:numId="15">
    <w:abstractNumId w:val="10"/>
  </w:num>
  <w:num w:numId="16">
    <w:abstractNumId w:val="18"/>
  </w:num>
  <w:num w:numId="17">
    <w:abstractNumId w:val="0"/>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B21"/>
    <w:rsid w:val="00024631"/>
    <w:rsid w:val="00047153"/>
    <w:rsid w:val="000B203E"/>
    <w:rsid w:val="002F0B9B"/>
    <w:rsid w:val="00462713"/>
    <w:rsid w:val="005A1487"/>
    <w:rsid w:val="005C4389"/>
    <w:rsid w:val="00620CCF"/>
    <w:rsid w:val="006610E7"/>
    <w:rsid w:val="00691952"/>
    <w:rsid w:val="00712AF9"/>
    <w:rsid w:val="00770D21"/>
    <w:rsid w:val="00810994"/>
    <w:rsid w:val="0081720E"/>
    <w:rsid w:val="00866389"/>
    <w:rsid w:val="008A404A"/>
    <w:rsid w:val="00A937B1"/>
    <w:rsid w:val="00B77730"/>
    <w:rsid w:val="00FC1B21"/>
    <w:rsid w:val="00FD43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2FBC4"/>
  <w15:chartTrackingRefBased/>
  <w15:docId w15:val="{5CEEC735-2594-4F77-9C77-D4BF42470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1B21"/>
    <w:pPr>
      <w:spacing w:before="100" w:beforeAutospacing="1" w:after="100" w:afterAutospacing="1" w:line="240" w:lineRule="auto"/>
      <w:jc w:val="both"/>
    </w:pPr>
    <w:rPr>
      <w:rFonts w:eastAsia="Times New Roman" w:cstheme="minorHAnsi"/>
      <w:sz w:val="24"/>
      <w:szCs w:val="24"/>
      <w:lang w:eastAsia="de-CH"/>
    </w:rPr>
  </w:style>
  <w:style w:type="paragraph" w:styleId="berschrift1">
    <w:name w:val="heading 1"/>
    <w:basedOn w:val="Standard"/>
    <w:link w:val="berschrift1Zchn"/>
    <w:uiPriority w:val="9"/>
    <w:qFormat/>
    <w:rsid w:val="00FC1B21"/>
    <w:pPr>
      <w:outlineLvl w:val="0"/>
    </w:pPr>
    <w:rPr>
      <w:rFonts w:ascii="Times New Roman" w:hAnsi="Times New Roman" w:cs="Times New Roman"/>
      <w:kern w:val="36"/>
      <w:sz w:val="48"/>
      <w:szCs w:val="48"/>
    </w:rPr>
  </w:style>
  <w:style w:type="paragraph" w:styleId="berschrift2">
    <w:name w:val="heading 2"/>
    <w:basedOn w:val="Standard"/>
    <w:link w:val="berschrift2Zchn"/>
    <w:uiPriority w:val="9"/>
    <w:qFormat/>
    <w:rsid w:val="00024631"/>
    <w:pPr>
      <w:outlineLvl w:val="1"/>
    </w:pPr>
    <w:rPr>
      <w:rFonts w:ascii="Times New Roman" w:hAnsi="Times New Roman" w:cs="Times New Roman"/>
      <w:b/>
      <w:bCs/>
      <w:sz w:val="32"/>
      <w:szCs w:val="32"/>
    </w:rPr>
  </w:style>
  <w:style w:type="paragraph" w:styleId="berschrift3">
    <w:name w:val="heading 3"/>
    <w:basedOn w:val="Standard"/>
    <w:link w:val="berschrift3Zchn"/>
    <w:uiPriority w:val="9"/>
    <w:qFormat/>
    <w:rsid w:val="00024631"/>
    <w:pPr>
      <w:outlineLvl w:val="2"/>
    </w:pPr>
    <w:rPr>
      <w:rFonts w:ascii="Times New Roman" w:hAnsi="Times New Roman" w:cs="Times New Roman"/>
      <w:b/>
      <w:bCs/>
      <w:sz w:val="26"/>
      <w:szCs w:val="26"/>
    </w:rPr>
  </w:style>
  <w:style w:type="paragraph" w:styleId="berschrift4">
    <w:name w:val="heading 4"/>
    <w:basedOn w:val="Standard"/>
    <w:next w:val="Standard"/>
    <w:link w:val="berschrift4Zchn"/>
    <w:uiPriority w:val="9"/>
    <w:unhideWhenUsed/>
    <w:qFormat/>
    <w:rsid w:val="00024631"/>
    <w:pPr>
      <w:shd w:val="clear" w:color="auto" w:fill="F2F2F2" w:themeFill="background1" w:themeFillShade="F2"/>
      <w:outlineLvl w:val="3"/>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C1B21"/>
    <w:rPr>
      <w:rFonts w:ascii="Times New Roman" w:eastAsia="Times New Roman" w:hAnsi="Times New Roman" w:cs="Times New Roman"/>
      <w:kern w:val="36"/>
      <w:sz w:val="48"/>
      <w:szCs w:val="48"/>
      <w:lang w:eastAsia="de-CH"/>
    </w:rPr>
  </w:style>
  <w:style w:type="character" w:customStyle="1" w:styleId="berschrift2Zchn">
    <w:name w:val="Überschrift 2 Zchn"/>
    <w:basedOn w:val="Absatz-Standardschriftart"/>
    <w:link w:val="berschrift2"/>
    <w:uiPriority w:val="9"/>
    <w:rsid w:val="00024631"/>
    <w:rPr>
      <w:rFonts w:ascii="Times New Roman" w:eastAsia="Times New Roman" w:hAnsi="Times New Roman" w:cs="Times New Roman"/>
      <w:b/>
      <w:bCs/>
      <w:sz w:val="32"/>
      <w:szCs w:val="32"/>
      <w:lang w:eastAsia="de-CH"/>
    </w:rPr>
  </w:style>
  <w:style w:type="character" w:customStyle="1" w:styleId="berschrift3Zchn">
    <w:name w:val="Überschrift 3 Zchn"/>
    <w:basedOn w:val="Absatz-Standardschriftart"/>
    <w:link w:val="berschrift3"/>
    <w:uiPriority w:val="9"/>
    <w:rsid w:val="00024631"/>
    <w:rPr>
      <w:rFonts w:ascii="Times New Roman" w:eastAsia="Times New Roman" w:hAnsi="Times New Roman" w:cs="Times New Roman"/>
      <w:b/>
      <w:bCs/>
      <w:sz w:val="26"/>
      <w:szCs w:val="26"/>
      <w:lang w:eastAsia="de-CH"/>
    </w:rPr>
  </w:style>
  <w:style w:type="character" w:styleId="Hyperlink">
    <w:name w:val="Hyperlink"/>
    <w:basedOn w:val="Absatz-Standardschriftart"/>
    <w:uiPriority w:val="99"/>
    <w:unhideWhenUsed/>
    <w:rsid w:val="00FC1B21"/>
    <w:rPr>
      <w:color w:val="0000FF"/>
      <w:u w:val="single"/>
    </w:rPr>
  </w:style>
  <w:style w:type="paragraph" w:styleId="StandardWeb">
    <w:name w:val="Normal (Web)"/>
    <w:basedOn w:val="Standard"/>
    <w:uiPriority w:val="99"/>
    <w:semiHidden/>
    <w:unhideWhenUsed/>
    <w:rsid w:val="00FC1B21"/>
    <w:rPr>
      <w:rFonts w:ascii="Times New Roman" w:hAnsi="Times New Roman" w:cs="Times New Roman"/>
    </w:rPr>
  </w:style>
  <w:style w:type="paragraph" w:customStyle="1" w:styleId="Beschriftung1">
    <w:name w:val="Beschriftung1"/>
    <w:basedOn w:val="Standard"/>
    <w:rsid w:val="00FC1B21"/>
    <w:rPr>
      <w:rFonts w:ascii="Times New Roman" w:hAnsi="Times New Roman" w:cs="Times New Roman"/>
    </w:rPr>
  </w:style>
  <w:style w:type="character" w:customStyle="1" w:styleId="caption-number">
    <w:name w:val="caption-number"/>
    <w:basedOn w:val="Absatz-Standardschriftart"/>
    <w:rsid w:val="00FC1B21"/>
  </w:style>
  <w:style w:type="character" w:customStyle="1" w:styleId="caption-text">
    <w:name w:val="caption-text"/>
    <w:basedOn w:val="Absatz-Standardschriftart"/>
    <w:rsid w:val="00FC1B21"/>
  </w:style>
  <w:style w:type="character" w:styleId="Hervorhebung">
    <w:name w:val="Emphasis"/>
    <w:basedOn w:val="Absatz-Standardschriftart"/>
    <w:uiPriority w:val="20"/>
    <w:qFormat/>
    <w:rsid w:val="00FC1B21"/>
    <w:rPr>
      <w:i/>
      <w:iCs/>
    </w:rPr>
  </w:style>
  <w:style w:type="paragraph" w:styleId="z-Formularbeginn">
    <w:name w:val="HTML Top of Form"/>
    <w:basedOn w:val="Standard"/>
    <w:next w:val="Standard"/>
    <w:link w:val="z-FormularbeginnZchn"/>
    <w:hidden/>
    <w:uiPriority w:val="99"/>
    <w:semiHidden/>
    <w:unhideWhenUsed/>
    <w:rsid w:val="00FC1B21"/>
    <w:pPr>
      <w:pBdr>
        <w:bottom w:val="single" w:sz="6" w:space="1" w:color="auto"/>
      </w:pBdr>
      <w:spacing w:after="0"/>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semiHidden/>
    <w:rsid w:val="00FC1B21"/>
    <w:rPr>
      <w:rFonts w:ascii="Arial" w:eastAsia="Times New Roman" w:hAnsi="Arial" w:cs="Arial"/>
      <w:vanish/>
      <w:sz w:val="16"/>
      <w:szCs w:val="16"/>
      <w:lang w:eastAsia="de-CH"/>
    </w:rPr>
  </w:style>
  <w:style w:type="paragraph" w:styleId="z-Formularende">
    <w:name w:val="HTML Bottom of Form"/>
    <w:basedOn w:val="Standard"/>
    <w:next w:val="Standard"/>
    <w:link w:val="z-FormularendeZchn"/>
    <w:hidden/>
    <w:uiPriority w:val="99"/>
    <w:semiHidden/>
    <w:unhideWhenUsed/>
    <w:rsid w:val="00FC1B21"/>
    <w:pPr>
      <w:pBdr>
        <w:top w:val="single" w:sz="6" w:space="1" w:color="auto"/>
      </w:pBdr>
      <w:spacing w:after="0"/>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semiHidden/>
    <w:rsid w:val="00FC1B21"/>
    <w:rPr>
      <w:rFonts w:ascii="Arial" w:eastAsia="Times New Roman" w:hAnsi="Arial" w:cs="Arial"/>
      <w:vanish/>
      <w:sz w:val="16"/>
      <w:szCs w:val="16"/>
      <w:lang w:eastAsia="de-CH"/>
    </w:rPr>
  </w:style>
  <w:style w:type="character" w:styleId="Fett">
    <w:name w:val="Strong"/>
    <w:basedOn w:val="Absatz-Standardschriftart"/>
    <w:uiPriority w:val="22"/>
    <w:qFormat/>
    <w:rsid w:val="00FC1B21"/>
    <w:rPr>
      <w:b/>
      <w:bCs/>
    </w:rPr>
  </w:style>
  <w:style w:type="character" w:customStyle="1" w:styleId="brackets">
    <w:name w:val="brackets"/>
    <w:basedOn w:val="Absatz-Standardschriftart"/>
    <w:rsid w:val="00FC1B21"/>
  </w:style>
  <w:style w:type="paragraph" w:styleId="Listenabsatz">
    <w:name w:val="List Paragraph"/>
    <w:basedOn w:val="Standard"/>
    <w:uiPriority w:val="34"/>
    <w:qFormat/>
    <w:rsid w:val="00FC1B21"/>
    <w:pPr>
      <w:ind w:left="720"/>
      <w:contextualSpacing/>
    </w:pPr>
  </w:style>
  <w:style w:type="paragraph" w:styleId="Beschriftung">
    <w:name w:val="caption"/>
    <w:basedOn w:val="Standard"/>
    <w:next w:val="Standard"/>
    <w:uiPriority w:val="35"/>
    <w:unhideWhenUsed/>
    <w:qFormat/>
    <w:rsid w:val="00FC1B21"/>
    <w:pPr>
      <w:spacing w:before="0" w:after="200"/>
    </w:pPr>
    <w:rPr>
      <w:i/>
      <w:iCs/>
      <w:color w:val="44546A" w:themeColor="text2"/>
      <w:sz w:val="18"/>
      <w:szCs w:val="18"/>
    </w:rPr>
  </w:style>
  <w:style w:type="paragraph" w:customStyle="1" w:styleId="Bildunterschrift">
    <w:name w:val="Bildunterschrift"/>
    <w:basedOn w:val="Standard"/>
    <w:link w:val="BildunterschriftZchn"/>
    <w:qFormat/>
    <w:rsid w:val="00FC1B21"/>
    <w:rPr>
      <w:i/>
      <w:sz w:val="22"/>
      <w:szCs w:val="22"/>
    </w:rPr>
  </w:style>
  <w:style w:type="paragraph" w:styleId="Funotentext">
    <w:name w:val="footnote text"/>
    <w:basedOn w:val="Standard"/>
    <w:link w:val="FunotentextZchn"/>
    <w:uiPriority w:val="99"/>
    <w:semiHidden/>
    <w:unhideWhenUsed/>
    <w:rsid w:val="00FC1B21"/>
    <w:pPr>
      <w:spacing w:before="0" w:after="0"/>
    </w:pPr>
    <w:rPr>
      <w:sz w:val="20"/>
      <w:szCs w:val="20"/>
    </w:rPr>
  </w:style>
  <w:style w:type="character" w:customStyle="1" w:styleId="BildunterschriftZchn">
    <w:name w:val="Bildunterschrift Zchn"/>
    <w:basedOn w:val="Absatz-Standardschriftart"/>
    <w:link w:val="Bildunterschrift"/>
    <w:rsid w:val="00FC1B21"/>
    <w:rPr>
      <w:rFonts w:eastAsia="Times New Roman" w:cstheme="minorHAnsi"/>
      <w:i/>
      <w:lang w:eastAsia="de-CH"/>
    </w:rPr>
  </w:style>
  <w:style w:type="character" w:customStyle="1" w:styleId="FunotentextZchn">
    <w:name w:val="Fußnotentext Zchn"/>
    <w:basedOn w:val="Absatz-Standardschriftart"/>
    <w:link w:val="Funotentext"/>
    <w:uiPriority w:val="99"/>
    <w:semiHidden/>
    <w:rsid w:val="00FC1B21"/>
    <w:rPr>
      <w:rFonts w:eastAsia="Times New Roman" w:cstheme="minorHAnsi"/>
      <w:sz w:val="20"/>
      <w:szCs w:val="20"/>
      <w:lang w:eastAsia="de-CH"/>
    </w:rPr>
  </w:style>
  <w:style w:type="character" w:styleId="Funotenzeichen">
    <w:name w:val="footnote reference"/>
    <w:basedOn w:val="Absatz-Standardschriftart"/>
    <w:uiPriority w:val="99"/>
    <w:semiHidden/>
    <w:unhideWhenUsed/>
    <w:rsid w:val="00FC1B21"/>
    <w:rPr>
      <w:vertAlign w:val="superscript"/>
    </w:rPr>
  </w:style>
  <w:style w:type="character" w:customStyle="1" w:styleId="berschrift4Zchn">
    <w:name w:val="Überschrift 4 Zchn"/>
    <w:basedOn w:val="Absatz-Standardschriftart"/>
    <w:link w:val="berschrift4"/>
    <w:uiPriority w:val="9"/>
    <w:rsid w:val="00024631"/>
    <w:rPr>
      <w:rFonts w:eastAsia="Times New Roman" w:cstheme="minorHAnsi"/>
      <w:b/>
      <w:bCs/>
      <w:i/>
      <w:iCs/>
      <w:sz w:val="24"/>
      <w:szCs w:val="24"/>
      <w:shd w:val="clear" w:color="auto" w:fill="F2F2F2" w:themeFill="background1" w:themeFillShade="F2"/>
      <w:lang w:eastAsia="de-CH"/>
    </w:rPr>
  </w:style>
  <w:style w:type="character" w:styleId="NichtaufgelsteErwhnung">
    <w:name w:val="Unresolved Mention"/>
    <w:basedOn w:val="Absatz-Standardschriftart"/>
    <w:uiPriority w:val="99"/>
    <w:semiHidden/>
    <w:unhideWhenUsed/>
    <w:rsid w:val="00712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022392">
      <w:bodyDiv w:val="1"/>
      <w:marLeft w:val="0"/>
      <w:marRight w:val="0"/>
      <w:marTop w:val="0"/>
      <w:marBottom w:val="0"/>
      <w:divBdr>
        <w:top w:val="none" w:sz="0" w:space="0" w:color="auto"/>
        <w:left w:val="none" w:sz="0" w:space="0" w:color="auto"/>
        <w:bottom w:val="none" w:sz="0" w:space="0" w:color="auto"/>
        <w:right w:val="none" w:sz="0" w:space="0" w:color="auto"/>
      </w:divBdr>
      <w:divsChild>
        <w:div w:id="877012956">
          <w:marLeft w:val="0"/>
          <w:marRight w:val="0"/>
          <w:marTop w:val="0"/>
          <w:marBottom w:val="0"/>
          <w:divBdr>
            <w:top w:val="none" w:sz="0" w:space="0" w:color="auto"/>
            <w:left w:val="none" w:sz="0" w:space="0" w:color="auto"/>
            <w:bottom w:val="none" w:sz="0" w:space="0" w:color="auto"/>
            <w:right w:val="none" w:sz="0" w:space="0" w:color="auto"/>
          </w:divBdr>
          <w:divsChild>
            <w:div w:id="318462800">
              <w:marLeft w:val="0"/>
              <w:marRight w:val="0"/>
              <w:marTop w:val="0"/>
              <w:marBottom w:val="0"/>
              <w:divBdr>
                <w:top w:val="none" w:sz="0" w:space="0" w:color="auto"/>
                <w:left w:val="none" w:sz="0" w:space="0" w:color="auto"/>
                <w:bottom w:val="none" w:sz="0" w:space="0" w:color="auto"/>
                <w:right w:val="none" w:sz="0" w:space="0" w:color="auto"/>
              </w:divBdr>
              <w:divsChild>
                <w:div w:id="1304655707">
                  <w:marLeft w:val="0"/>
                  <w:marRight w:val="0"/>
                  <w:marTop w:val="0"/>
                  <w:marBottom w:val="0"/>
                  <w:divBdr>
                    <w:top w:val="none" w:sz="0" w:space="0" w:color="auto"/>
                    <w:left w:val="none" w:sz="0" w:space="0" w:color="auto"/>
                    <w:bottom w:val="none" w:sz="0" w:space="0" w:color="auto"/>
                    <w:right w:val="none" w:sz="0" w:space="0" w:color="auto"/>
                  </w:divBdr>
                  <w:divsChild>
                    <w:div w:id="929464271">
                      <w:marLeft w:val="0"/>
                      <w:marRight w:val="0"/>
                      <w:marTop w:val="0"/>
                      <w:marBottom w:val="0"/>
                      <w:divBdr>
                        <w:top w:val="none" w:sz="0" w:space="0" w:color="auto"/>
                        <w:left w:val="none" w:sz="0" w:space="0" w:color="auto"/>
                        <w:bottom w:val="none" w:sz="0" w:space="0" w:color="auto"/>
                        <w:right w:val="none" w:sz="0" w:space="0" w:color="auto"/>
                      </w:divBdr>
                      <w:divsChild>
                        <w:div w:id="1424691969">
                          <w:marLeft w:val="0"/>
                          <w:marRight w:val="0"/>
                          <w:marTop w:val="0"/>
                          <w:marBottom w:val="0"/>
                          <w:divBdr>
                            <w:top w:val="none" w:sz="0" w:space="0" w:color="auto"/>
                            <w:left w:val="none" w:sz="0" w:space="0" w:color="auto"/>
                            <w:bottom w:val="none" w:sz="0" w:space="0" w:color="auto"/>
                            <w:right w:val="none" w:sz="0" w:space="0" w:color="auto"/>
                          </w:divBdr>
                        </w:div>
                        <w:div w:id="175996205">
                          <w:marLeft w:val="0"/>
                          <w:marRight w:val="0"/>
                          <w:marTop w:val="0"/>
                          <w:marBottom w:val="0"/>
                          <w:divBdr>
                            <w:top w:val="none" w:sz="0" w:space="0" w:color="auto"/>
                            <w:left w:val="none" w:sz="0" w:space="0" w:color="auto"/>
                            <w:bottom w:val="none" w:sz="0" w:space="0" w:color="auto"/>
                            <w:right w:val="none" w:sz="0" w:space="0" w:color="auto"/>
                          </w:divBdr>
                        </w:div>
                        <w:div w:id="1114516544">
                          <w:marLeft w:val="0"/>
                          <w:marRight w:val="0"/>
                          <w:marTop w:val="0"/>
                          <w:marBottom w:val="0"/>
                          <w:divBdr>
                            <w:top w:val="none" w:sz="0" w:space="0" w:color="auto"/>
                            <w:left w:val="none" w:sz="0" w:space="0" w:color="auto"/>
                            <w:bottom w:val="none" w:sz="0" w:space="0" w:color="auto"/>
                            <w:right w:val="none" w:sz="0" w:space="0" w:color="auto"/>
                          </w:divBdr>
                        </w:div>
                        <w:div w:id="828061105">
                          <w:marLeft w:val="0"/>
                          <w:marRight w:val="0"/>
                          <w:marTop w:val="0"/>
                          <w:marBottom w:val="0"/>
                          <w:divBdr>
                            <w:top w:val="none" w:sz="0" w:space="0" w:color="auto"/>
                            <w:left w:val="none" w:sz="0" w:space="0" w:color="auto"/>
                            <w:bottom w:val="none" w:sz="0" w:space="0" w:color="auto"/>
                            <w:right w:val="none" w:sz="0" w:space="0" w:color="auto"/>
                          </w:divBdr>
                        </w:div>
                        <w:div w:id="457990522">
                          <w:marLeft w:val="0"/>
                          <w:marRight w:val="0"/>
                          <w:marTop w:val="0"/>
                          <w:marBottom w:val="0"/>
                          <w:divBdr>
                            <w:top w:val="none" w:sz="0" w:space="0" w:color="auto"/>
                            <w:left w:val="none" w:sz="0" w:space="0" w:color="auto"/>
                            <w:bottom w:val="none" w:sz="0" w:space="0" w:color="auto"/>
                            <w:right w:val="none" w:sz="0" w:space="0" w:color="auto"/>
                          </w:divBdr>
                          <w:divsChild>
                            <w:div w:id="13886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734764">
          <w:marLeft w:val="0"/>
          <w:marRight w:val="0"/>
          <w:marTop w:val="0"/>
          <w:marBottom w:val="0"/>
          <w:divBdr>
            <w:top w:val="none" w:sz="0" w:space="0" w:color="auto"/>
            <w:left w:val="none" w:sz="0" w:space="0" w:color="auto"/>
            <w:bottom w:val="none" w:sz="0" w:space="0" w:color="auto"/>
            <w:right w:val="none" w:sz="0" w:space="0" w:color="auto"/>
          </w:divBdr>
        </w:div>
        <w:div w:id="67730143">
          <w:marLeft w:val="0"/>
          <w:marRight w:val="0"/>
          <w:marTop w:val="0"/>
          <w:marBottom w:val="0"/>
          <w:divBdr>
            <w:top w:val="none" w:sz="0" w:space="0" w:color="auto"/>
            <w:left w:val="none" w:sz="0" w:space="0" w:color="auto"/>
            <w:bottom w:val="none" w:sz="0" w:space="0" w:color="auto"/>
            <w:right w:val="none" w:sz="0" w:space="0" w:color="auto"/>
          </w:divBdr>
          <w:divsChild>
            <w:div w:id="1205366128">
              <w:marLeft w:val="0"/>
              <w:marRight w:val="0"/>
              <w:marTop w:val="0"/>
              <w:marBottom w:val="0"/>
              <w:divBdr>
                <w:top w:val="none" w:sz="0" w:space="0" w:color="auto"/>
                <w:left w:val="none" w:sz="0" w:space="0" w:color="auto"/>
                <w:bottom w:val="none" w:sz="0" w:space="0" w:color="auto"/>
                <w:right w:val="none" w:sz="0" w:space="0" w:color="auto"/>
              </w:divBdr>
            </w:div>
          </w:divsChild>
        </w:div>
        <w:div w:id="1170801615">
          <w:marLeft w:val="0"/>
          <w:marRight w:val="0"/>
          <w:marTop w:val="0"/>
          <w:marBottom w:val="0"/>
          <w:divBdr>
            <w:top w:val="none" w:sz="0" w:space="0" w:color="auto"/>
            <w:left w:val="none" w:sz="0" w:space="0" w:color="auto"/>
            <w:bottom w:val="none" w:sz="0" w:space="0" w:color="auto"/>
            <w:right w:val="none" w:sz="0" w:space="0" w:color="auto"/>
          </w:divBdr>
          <w:divsChild>
            <w:div w:id="1634822944">
              <w:marLeft w:val="0"/>
              <w:marRight w:val="0"/>
              <w:marTop w:val="0"/>
              <w:marBottom w:val="0"/>
              <w:divBdr>
                <w:top w:val="none" w:sz="0" w:space="0" w:color="auto"/>
                <w:left w:val="none" w:sz="0" w:space="0" w:color="auto"/>
                <w:bottom w:val="none" w:sz="0" w:space="0" w:color="auto"/>
                <w:right w:val="none" w:sz="0" w:space="0" w:color="auto"/>
              </w:divBdr>
            </w:div>
          </w:divsChild>
        </w:div>
        <w:div w:id="1600258962">
          <w:marLeft w:val="0"/>
          <w:marRight w:val="0"/>
          <w:marTop w:val="0"/>
          <w:marBottom w:val="0"/>
          <w:divBdr>
            <w:top w:val="none" w:sz="0" w:space="0" w:color="auto"/>
            <w:left w:val="none" w:sz="0" w:space="0" w:color="auto"/>
            <w:bottom w:val="none" w:sz="0" w:space="0" w:color="auto"/>
            <w:right w:val="none" w:sz="0" w:space="0" w:color="auto"/>
          </w:divBdr>
          <w:divsChild>
            <w:div w:id="1589656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0137460">
                  <w:marLeft w:val="0"/>
                  <w:marRight w:val="0"/>
                  <w:marTop w:val="0"/>
                  <w:marBottom w:val="0"/>
                  <w:divBdr>
                    <w:top w:val="none" w:sz="0" w:space="0" w:color="auto"/>
                    <w:left w:val="none" w:sz="0" w:space="0" w:color="auto"/>
                    <w:bottom w:val="none" w:sz="0" w:space="0" w:color="auto"/>
                    <w:right w:val="none" w:sz="0" w:space="0" w:color="auto"/>
                  </w:divBdr>
                  <w:divsChild>
                    <w:div w:id="19185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2212">
          <w:marLeft w:val="0"/>
          <w:marRight w:val="0"/>
          <w:marTop w:val="0"/>
          <w:marBottom w:val="0"/>
          <w:divBdr>
            <w:top w:val="none" w:sz="0" w:space="0" w:color="auto"/>
            <w:left w:val="none" w:sz="0" w:space="0" w:color="auto"/>
            <w:bottom w:val="none" w:sz="0" w:space="0" w:color="auto"/>
            <w:right w:val="none" w:sz="0" w:space="0" w:color="auto"/>
          </w:divBdr>
          <w:divsChild>
            <w:div w:id="153183766">
              <w:marLeft w:val="0"/>
              <w:marRight w:val="0"/>
              <w:marTop w:val="0"/>
              <w:marBottom w:val="0"/>
              <w:divBdr>
                <w:top w:val="none" w:sz="0" w:space="0" w:color="auto"/>
                <w:left w:val="none" w:sz="0" w:space="0" w:color="auto"/>
                <w:bottom w:val="none" w:sz="0" w:space="0" w:color="auto"/>
                <w:right w:val="none" w:sz="0" w:space="0" w:color="auto"/>
              </w:divBdr>
            </w:div>
          </w:divsChild>
        </w:div>
        <w:div w:id="513152406">
          <w:marLeft w:val="0"/>
          <w:marRight w:val="0"/>
          <w:marTop w:val="0"/>
          <w:marBottom w:val="0"/>
          <w:divBdr>
            <w:top w:val="none" w:sz="0" w:space="0" w:color="auto"/>
            <w:left w:val="none" w:sz="0" w:space="0" w:color="auto"/>
            <w:bottom w:val="none" w:sz="0" w:space="0" w:color="auto"/>
            <w:right w:val="none" w:sz="0" w:space="0" w:color="auto"/>
          </w:divBdr>
          <w:divsChild>
            <w:div w:id="1467622650">
              <w:marLeft w:val="0"/>
              <w:marRight w:val="0"/>
              <w:marTop w:val="0"/>
              <w:marBottom w:val="0"/>
              <w:divBdr>
                <w:top w:val="none" w:sz="0" w:space="0" w:color="auto"/>
                <w:left w:val="none" w:sz="0" w:space="0" w:color="auto"/>
                <w:bottom w:val="none" w:sz="0" w:space="0" w:color="auto"/>
                <w:right w:val="none" w:sz="0" w:space="0" w:color="auto"/>
              </w:divBdr>
            </w:div>
          </w:divsChild>
        </w:div>
        <w:div w:id="1829906604">
          <w:marLeft w:val="0"/>
          <w:marRight w:val="0"/>
          <w:marTop w:val="0"/>
          <w:marBottom w:val="0"/>
          <w:divBdr>
            <w:top w:val="none" w:sz="0" w:space="0" w:color="auto"/>
            <w:left w:val="none" w:sz="0" w:space="0" w:color="auto"/>
            <w:bottom w:val="none" w:sz="0" w:space="0" w:color="auto"/>
            <w:right w:val="none" w:sz="0" w:space="0" w:color="auto"/>
          </w:divBdr>
          <w:divsChild>
            <w:div w:id="1012222013">
              <w:marLeft w:val="0"/>
              <w:marRight w:val="0"/>
              <w:marTop w:val="0"/>
              <w:marBottom w:val="0"/>
              <w:divBdr>
                <w:top w:val="none" w:sz="0" w:space="0" w:color="auto"/>
                <w:left w:val="none" w:sz="0" w:space="0" w:color="auto"/>
                <w:bottom w:val="none" w:sz="0" w:space="0" w:color="auto"/>
                <w:right w:val="none" w:sz="0" w:space="0" w:color="auto"/>
              </w:divBdr>
            </w:div>
          </w:divsChild>
        </w:div>
        <w:div w:id="153422608">
          <w:marLeft w:val="0"/>
          <w:marRight w:val="0"/>
          <w:marTop w:val="0"/>
          <w:marBottom w:val="0"/>
          <w:divBdr>
            <w:top w:val="none" w:sz="0" w:space="0" w:color="auto"/>
            <w:left w:val="none" w:sz="0" w:space="0" w:color="auto"/>
            <w:bottom w:val="none" w:sz="0" w:space="0" w:color="auto"/>
            <w:right w:val="none" w:sz="0" w:space="0" w:color="auto"/>
          </w:divBdr>
          <w:divsChild>
            <w:div w:id="1453597322">
              <w:marLeft w:val="0"/>
              <w:marRight w:val="0"/>
              <w:marTop w:val="0"/>
              <w:marBottom w:val="0"/>
              <w:divBdr>
                <w:top w:val="none" w:sz="0" w:space="0" w:color="auto"/>
                <w:left w:val="none" w:sz="0" w:space="0" w:color="auto"/>
                <w:bottom w:val="none" w:sz="0" w:space="0" w:color="auto"/>
                <w:right w:val="none" w:sz="0" w:space="0" w:color="auto"/>
              </w:divBdr>
              <w:divsChild>
                <w:div w:id="1934782197">
                  <w:marLeft w:val="0"/>
                  <w:marRight w:val="0"/>
                  <w:marTop w:val="0"/>
                  <w:marBottom w:val="0"/>
                  <w:divBdr>
                    <w:top w:val="none" w:sz="0" w:space="0" w:color="auto"/>
                    <w:left w:val="none" w:sz="0" w:space="0" w:color="auto"/>
                    <w:bottom w:val="none" w:sz="0" w:space="0" w:color="auto"/>
                    <w:right w:val="none" w:sz="0" w:space="0" w:color="auto"/>
                  </w:divBdr>
                  <w:divsChild>
                    <w:div w:id="46685357">
                      <w:marLeft w:val="0"/>
                      <w:marRight w:val="0"/>
                      <w:marTop w:val="0"/>
                      <w:marBottom w:val="0"/>
                      <w:divBdr>
                        <w:top w:val="none" w:sz="0" w:space="0" w:color="auto"/>
                        <w:left w:val="none" w:sz="0" w:space="0" w:color="auto"/>
                        <w:bottom w:val="none" w:sz="0" w:space="0" w:color="auto"/>
                        <w:right w:val="none" w:sz="0" w:space="0" w:color="auto"/>
                      </w:divBdr>
                      <w:divsChild>
                        <w:div w:id="1792944151">
                          <w:marLeft w:val="0"/>
                          <w:marRight w:val="0"/>
                          <w:marTop w:val="0"/>
                          <w:marBottom w:val="0"/>
                          <w:divBdr>
                            <w:top w:val="none" w:sz="0" w:space="0" w:color="auto"/>
                            <w:left w:val="none" w:sz="0" w:space="0" w:color="auto"/>
                            <w:bottom w:val="none" w:sz="0" w:space="0" w:color="auto"/>
                            <w:right w:val="none" w:sz="0" w:space="0" w:color="auto"/>
                          </w:divBdr>
                          <w:divsChild>
                            <w:div w:id="1623657089">
                              <w:marLeft w:val="0"/>
                              <w:marRight w:val="0"/>
                              <w:marTop w:val="0"/>
                              <w:marBottom w:val="0"/>
                              <w:divBdr>
                                <w:top w:val="none" w:sz="0" w:space="0" w:color="auto"/>
                                <w:left w:val="none" w:sz="0" w:space="0" w:color="auto"/>
                                <w:bottom w:val="none" w:sz="0" w:space="0" w:color="auto"/>
                                <w:right w:val="none" w:sz="0" w:space="0" w:color="auto"/>
                              </w:divBdr>
                            </w:div>
                            <w:div w:id="1675641413">
                              <w:marLeft w:val="0"/>
                              <w:marRight w:val="0"/>
                              <w:marTop w:val="0"/>
                              <w:marBottom w:val="0"/>
                              <w:divBdr>
                                <w:top w:val="none" w:sz="0" w:space="0" w:color="auto"/>
                                <w:left w:val="none" w:sz="0" w:space="0" w:color="auto"/>
                                <w:bottom w:val="none" w:sz="0" w:space="0" w:color="auto"/>
                                <w:right w:val="none" w:sz="0" w:space="0" w:color="auto"/>
                              </w:divBdr>
                              <w:divsChild>
                                <w:div w:id="434516074">
                                  <w:marLeft w:val="0"/>
                                  <w:marRight w:val="0"/>
                                  <w:marTop w:val="0"/>
                                  <w:marBottom w:val="0"/>
                                  <w:divBdr>
                                    <w:top w:val="none" w:sz="0" w:space="0" w:color="auto"/>
                                    <w:left w:val="none" w:sz="0" w:space="0" w:color="auto"/>
                                    <w:bottom w:val="none" w:sz="0" w:space="0" w:color="auto"/>
                                    <w:right w:val="none" w:sz="0" w:space="0" w:color="auto"/>
                                  </w:divBdr>
                                  <w:divsChild>
                                    <w:div w:id="1992827794">
                                      <w:marLeft w:val="0"/>
                                      <w:marRight w:val="0"/>
                                      <w:marTop w:val="0"/>
                                      <w:marBottom w:val="0"/>
                                      <w:divBdr>
                                        <w:top w:val="none" w:sz="0" w:space="0" w:color="auto"/>
                                        <w:left w:val="none" w:sz="0" w:space="0" w:color="auto"/>
                                        <w:bottom w:val="none" w:sz="0" w:space="0" w:color="auto"/>
                                        <w:right w:val="none" w:sz="0" w:space="0" w:color="auto"/>
                                      </w:divBdr>
                                    </w:div>
                                    <w:div w:id="620888254">
                                      <w:marLeft w:val="0"/>
                                      <w:marRight w:val="0"/>
                                      <w:marTop w:val="0"/>
                                      <w:marBottom w:val="0"/>
                                      <w:divBdr>
                                        <w:top w:val="none" w:sz="0" w:space="0" w:color="auto"/>
                                        <w:left w:val="none" w:sz="0" w:space="0" w:color="auto"/>
                                        <w:bottom w:val="none" w:sz="0" w:space="0" w:color="auto"/>
                                        <w:right w:val="none" w:sz="0" w:space="0" w:color="auto"/>
                                      </w:divBdr>
                                    </w:div>
                                    <w:div w:id="1858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882644">
          <w:marLeft w:val="0"/>
          <w:marRight w:val="0"/>
          <w:marTop w:val="0"/>
          <w:marBottom w:val="0"/>
          <w:divBdr>
            <w:top w:val="none" w:sz="0" w:space="0" w:color="auto"/>
            <w:left w:val="none" w:sz="0" w:space="0" w:color="auto"/>
            <w:bottom w:val="none" w:sz="0" w:space="0" w:color="auto"/>
            <w:right w:val="none" w:sz="0" w:space="0" w:color="auto"/>
          </w:divBdr>
        </w:div>
      </w:divsChild>
    </w:div>
    <w:div w:id="594873204">
      <w:bodyDiv w:val="1"/>
      <w:marLeft w:val="0"/>
      <w:marRight w:val="0"/>
      <w:marTop w:val="0"/>
      <w:marBottom w:val="0"/>
      <w:divBdr>
        <w:top w:val="none" w:sz="0" w:space="0" w:color="auto"/>
        <w:left w:val="none" w:sz="0" w:space="0" w:color="auto"/>
        <w:bottom w:val="none" w:sz="0" w:space="0" w:color="auto"/>
        <w:right w:val="none" w:sz="0" w:space="0" w:color="auto"/>
      </w:divBdr>
    </w:div>
    <w:div w:id="1495488195">
      <w:bodyDiv w:val="1"/>
      <w:marLeft w:val="0"/>
      <w:marRight w:val="0"/>
      <w:marTop w:val="0"/>
      <w:marBottom w:val="0"/>
      <w:divBdr>
        <w:top w:val="none" w:sz="0" w:space="0" w:color="auto"/>
        <w:left w:val="none" w:sz="0" w:space="0" w:color="auto"/>
        <w:bottom w:val="none" w:sz="0" w:space="0" w:color="auto"/>
        <w:right w:val="none" w:sz="0" w:space="0" w:color="auto"/>
      </w:divBdr>
      <w:divsChild>
        <w:div w:id="998733867">
          <w:marLeft w:val="0"/>
          <w:marRight w:val="0"/>
          <w:marTop w:val="0"/>
          <w:marBottom w:val="0"/>
          <w:divBdr>
            <w:top w:val="none" w:sz="0" w:space="0" w:color="auto"/>
            <w:left w:val="none" w:sz="0" w:space="0" w:color="auto"/>
            <w:bottom w:val="none" w:sz="0" w:space="0" w:color="auto"/>
            <w:right w:val="none" w:sz="0" w:space="0" w:color="auto"/>
          </w:divBdr>
          <w:divsChild>
            <w:div w:id="1731341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773478">
                  <w:marLeft w:val="0"/>
                  <w:marRight w:val="0"/>
                  <w:marTop w:val="0"/>
                  <w:marBottom w:val="0"/>
                  <w:divBdr>
                    <w:top w:val="none" w:sz="0" w:space="0" w:color="auto"/>
                    <w:left w:val="none" w:sz="0" w:space="0" w:color="auto"/>
                    <w:bottom w:val="none" w:sz="0" w:space="0" w:color="auto"/>
                    <w:right w:val="none" w:sz="0" w:space="0" w:color="auto"/>
                  </w:divBdr>
                  <w:divsChild>
                    <w:div w:id="11654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64700">
          <w:marLeft w:val="0"/>
          <w:marRight w:val="0"/>
          <w:marTop w:val="0"/>
          <w:marBottom w:val="0"/>
          <w:divBdr>
            <w:top w:val="none" w:sz="0" w:space="0" w:color="auto"/>
            <w:left w:val="none" w:sz="0" w:space="0" w:color="auto"/>
            <w:bottom w:val="none" w:sz="0" w:space="0" w:color="auto"/>
            <w:right w:val="none" w:sz="0" w:space="0" w:color="auto"/>
          </w:divBdr>
          <w:divsChild>
            <w:div w:id="3389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0846428">
                  <w:marLeft w:val="0"/>
                  <w:marRight w:val="0"/>
                  <w:marTop w:val="0"/>
                  <w:marBottom w:val="0"/>
                  <w:divBdr>
                    <w:top w:val="none" w:sz="0" w:space="0" w:color="auto"/>
                    <w:left w:val="none" w:sz="0" w:space="0" w:color="auto"/>
                    <w:bottom w:val="none" w:sz="0" w:space="0" w:color="auto"/>
                    <w:right w:val="none" w:sz="0" w:space="0" w:color="auto"/>
                  </w:divBdr>
                  <w:divsChild>
                    <w:div w:id="110306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14839">
          <w:marLeft w:val="0"/>
          <w:marRight w:val="0"/>
          <w:marTop w:val="0"/>
          <w:marBottom w:val="0"/>
          <w:divBdr>
            <w:top w:val="none" w:sz="0" w:space="0" w:color="auto"/>
            <w:left w:val="none" w:sz="0" w:space="0" w:color="auto"/>
            <w:bottom w:val="none" w:sz="0" w:space="0" w:color="auto"/>
            <w:right w:val="none" w:sz="0" w:space="0" w:color="auto"/>
          </w:divBdr>
          <w:divsChild>
            <w:div w:id="45691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5347260">
                  <w:marLeft w:val="0"/>
                  <w:marRight w:val="0"/>
                  <w:marTop w:val="0"/>
                  <w:marBottom w:val="0"/>
                  <w:divBdr>
                    <w:top w:val="none" w:sz="0" w:space="0" w:color="auto"/>
                    <w:left w:val="none" w:sz="0" w:space="0" w:color="auto"/>
                    <w:bottom w:val="none" w:sz="0" w:space="0" w:color="auto"/>
                    <w:right w:val="none" w:sz="0" w:space="0" w:color="auto"/>
                  </w:divBdr>
                  <w:divsChild>
                    <w:div w:id="178279809">
                      <w:marLeft w:val="0"/>
                      <w:marRight w:val="0"/>
                      <w:marTop w:val="0"/>
                      <w:marBottom w:val="0"/>
                      <w:divBdr>
                        <w:top w:val="none" w:sz="0" w:space="0" w:color="auto"/>
                        <w:left w:val="none" w:sz="0" w:space="0" w:color="auto"/>
                        <w:bottom w:val="none" w:sz="0" w:space="0" w:color="auto"/>
                        <w:right w:val="none" w:sz="0" w:space="0" w:color="auto"/>
                      </w:divBdr>
                    </w:div>
                    <w:div w:id="874268471">
                      <w:marLeft w:val="0"/>
                      <w:marRight w:val="0"/>
                      <w:marTop w:val="0"/>
                      <w:marBottom w:val="0"/>
                      <w:divBdr>
                        <w:top w:val="none" w:sz="0" w:space="0" w:color="auto"/>
                        <w:left w:val="none" w:sz="0" w:space="0" w:color="auto"/>
                        <w:bottom w:val="none" w:sz="0" w:space="0" w:color="auto"/>
                        <w:right w:val="none" w:sz="0" w:space="0" w:color="auto"/>
                      </w:divBdr>
                    </w:div>
                    <w:div w:id="2255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4916">
          <w:marLeft w:val="0"/>
          <w:marRight w:val="0"/>
          <w:marTop w:val="0"/>
          <w:marBottom w:val="0"/>
          <w:divBdr>
            <w:top w:val="none" w:sz="0" w:space="0" w:color="auto"/>
            <w:left w:val="none" w:sz="0" w:space="0" w:color="auto"/>
            <w:bottom w:val="none" w:sz="0" w:space="0" w:color="auto"/>
            <w:right w:val="none" w:sz="0" w:space="0" w:color="auto"/>
          </w:divBdr>
          <w:divsChild>
            <w:div w:id="48194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51576">
                  <w:marLeft w:val="0"/>
                  <w:marRight w:val="0"/>
                  <w:marTop w:val="0"/>
                  <w:marBottom w:val="0"/>
                  <w:divBdr>
                    <w:top w:val="none" w:sz="0" w:space="0" w:color="auto"/>
                    <w:left w:val="none" w:sz="0" w:space="0" w:color="auto"/>
                    <w:bottom w:val="none" w:sz="0" w:space="0" w:color="auto"/>
                    <w:right w:val="none" w:sz="0" w:space="0" w:color="auto"/>
                  </w:divBdr>
                  <w:divsChild>
                    <w:div w:id="826359921">
                      <w:marLeft w:val="0"/>
                      <w:marRight w:val="0"/>
                      <w:marTop w:val="0"/>
                      <w:marBottom w:val="0"/>
                      <w:divBdr>
                        <w:top w:val="none" w:sz="0" w:space="0" w:color="auto"/>
                        <w:left w:val="none" w:sz="0" w:space="0" w:color="auto"/>
                        <w:bottom w:val="none" w:sz="0" w:space="0" w:color="auto"/>
                        <w:right w:val="none" w:sz="0" w:space="0" w:color="auto"/>
                      </w:divBdr>
                    </w:div>
                    <w:div w:id="1996376497">
                      <w:marLeft w:val="0"/>
                      <w:marRight w:val="0"/>
                      <w:marTop w:val="0"/>
                      <w:marBottom w:val="0"/>
                      <w:divBdr>
                        <w:top w:val="none" w:sz="0" w:space="0" w:color="auto"/>
                        <w:left w:val="none" w:sz="0" w:space="0" w:color="auto"/>
                        <w:bottom w:val="none" w:sz="0" w:space="0" w:color="auto"/>
                        <w:right w:val="none" w:sz="0" w:space="0" w:color="auto"/>
                      </w:divBdr>
                    </w:div>
                    <w:div w:id="127164436">
                      <w:marLeft w:val="0"/>
                      <w:marRight w:val="0"/>
                      <w:marTop w:val="0"/>
                      <w:marBottom w:val="0"/>
                      <w:divBdr>
                        <w:top w:val="none" w:sz="0" w:space="0" w:color="auto"/>
                        <w:left w:val="none" w:sz="0" w:space="0" w:color="auto"/>
                        <w:bottom w:val="none" w:sz="0" w:space="0" w:color="auto"/>
                        <w:right w:val="none" w:sz="0" w:space="0" w:color="auto"/>
                      </w:divBdr>
                      <w:divsChild>
                        <w:div w:id="13789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12444">
          <w:marLeft w:val="0"/>
          <w:marRight w:val="0"/>
          <w:marTop w:val="0"/>
          <w:marBottom w:val="0"/>
          <w:divBdr>
            <w:top w:val="none" w:sz="0" w:space="0" w:color="auto"/>
            <w:left w:val="none" w:sz="0" w:space="0" w:color="auto"/>
            <w:bottom w:val="none" w:sz="0" w:space="0" w:color="auto"/>
            <w:right w:val="none" w:sz="0" w:space="0" w:color="auto"/>
          </w:divBdr>
          <w:divsChild>
            <w:div w:id="1891266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016837">
                  <w:marLeft w:val="0"/>
                  <w:marRight w:val="0"/>
                  <w:marTop w:val="0"/>
                  <w:marBottom w:val="0"/>
                  <w:divBdr>
                    <w:top w:val="none" w:sz="0" w:space="0" w:color="auto"/>
                    <w:left w:val="none" w:sz="0" w:space="0" w:color="auto"/>
                    <w:bottom w:val="none" w:sz="0" w:space="0" w:color="auto"/>
                    <w:right w:val="none" w:sz="0" w:space="0" w:color="auto"/>
                  </w:divBdr>
                  <w:divsChild>
                    <w:div w:id="1308627362">
                      <w:marLeft w:val="0"/>
                      <w:marRight w:val="0"/>
                      <w:marTop w:val="0"/>
                      <w:marBottom w:val="0"/>
                      <w:divBdr>
                        <w:top w:val="none" w:sz="0" w:space="0" w:color="auto"/>
                        <w:left w:val="none" w:sz="0" w:space="0" w:color="auto"/>
                        <w:bottom w:val="none" w:sz="0" w:space="0" w:color="auto"/>
                        <w:right w:val="none" w:sz="0" w:space="0" w:color="auto"/>
                      </w:divBdr>
                    </w:div>
                    <w:div w:id="55327982">
                      <w:marLeft w:val="0"/>
                      <w:marRight w:val="0"/>
                      <w:marTop w:val="0"/>
                      <w:marBottom w:val="0"/>
                      <w:divBdr>
                        <w:top w:val="none" w:sz="0" w:space="0" w:color="auto"/>
                        <w:left w:val="none" w:sz="0" w:space="0" w:color="auto"/>
                        <w:bottom w:val="none" w:sz="0" w:space="0" w:color="auto"/>
                        <w:right w:val="none" w:sz="0" w:space="0" w:color="auto"/>
                      </w:divBdr>
                    </w:div>
                    <w:div w:id="50277432">
                      <w:marLeft w:val="0"/>
                      <w:marRight w:val="0"/>
                      <w:marTop w:val="0"/>
                      <w:marBottom w:val="0"/>
                      <w:divBdr>
                        <w:top w:val="none" w:sz="0" w:space="0" w:color="auto"/>
                        <w:left w:val="none" w:sz="0" w:space="0" w:color="auto"/>
                        <w:bottom w:val="none" w:sz="0" w:space="0" w:color="auto"/>
                        <w:right w:val="none" w:sz="0" w:space="0" w:color="auto"/>
                      </w:divBdr>
                    </w:div>
                    <w:div w:id="5429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37903">
          <w:marLeft w:val="0"/>
          <w:marRight w:val="0"/>
          <w:marTop w:val="0"/>
          <w:marBottom w:val="0"/>
          <w:divBdr>
            <w:top w:val="none" w:sz="0" w:space="0" w:color="auto"/>
            <w:left w:val="none" w:sz="0" w:space="0" w:color="auto"/>
            <w:bottom w:val="none" w:sz="0" w:space="0" w:color="auto"/>
            <w:right w:val="none" w:sz="0" w:space="0" w:color="auto"/>
          </w:divBdr>
          <w:divsChild>
            <w:div w:id="3887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03698">
      <w:bodyDiv w:val="1"/>
      <w:marLeft w:val="0"/>
      <w:marRight w:val="0"/>
      <w:marTop w:val="0"/>
      <w:marBottom w:val="0"/>
      <w:divBdr>
        <w:top w:val="none" w:sz="0" w:space="0" w:color="auto"/>
        <w:left w:val="none" w:sz="0" w:space="0" w:color="auto"/>
        <w:bottom w:val="none" w:sz="0" w:space="0" w:color="auto"/>
        <w:right w:val="none" w:sz="0" w:space="0" w:color="auto"/>
      </w:divBdr>
      <w:divsChild>
        <w:div w:id="1636374543">
          <w:marLeft w:val="0"/>
          <w:marRight w:val="0"/>
          <w:marTop w:val="0"/>
          <w:marBottom w:val="0"/>
          <w:divBdr>
            <w:top w:val="none" w:sz="0" w:space="0" w:color="auto"/>
            <w:left w:val="none" w:sz="0" w:space="0" w:color="auto"/>
            <w:bottom w:val="none" w:sz="0" w:space="0" w:color="auto"/>
            <w:right w:val="none" w:sz="0" w:space="0" w:color="auto"/>
          </w:divBdr>
        </w:div>
        <w:div w:id="213397258">
          <w:marLeft w:val="0"/>
          <w:marRight w:val="0"/>
          <w:marTop w:val="0"/>
          <w:marBottom w:val="0"/>
          <w:divBdr>
            <w:top w:val="none" w:sz="0" w:space="0" w:color="auto"/>
            <w:left w:val="none" w:sz="0" w:space="0" w:color="auto"/>
            <w:bottom w:val="none" w:sz="0" w:space="0" w:color="auto"/>
            <w:right w:val="none" w:sz="0" w:space="0" w:color="auto"/>
          </w:divBdr>
        </w:div>
        <w:div w:id="233928795">
          <w:marLeft w:val="0"/>
          <w:marRight w:val="0"/>
          <w:marTop w:val="0"/>
          <w:marBottom w:val="0"/>
          <w:divBdr>
            <w:top w:val="none" w:sz="0" w:space="0" w:color="auto"/>
            <w:left w:val="none" w:sz="0" w:space="0" w:color="auto"/>
            <w:bottom w:val="none" w:sz="0" w:space="0" w:color="auto"/>
            <w:right w:val="none" w:sz="0" w:space="0" w:color="auto"/>
          </w:divBdr>
        </w:div>
        <w:div w:id="1840920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xampp\htdocs\_swisseduc_git_202010\molekularium\sulfonamides\Sulfanilamid_D_DHPS\b\_images\sulfanilamid.png" TargetMode="External"/><Relationship Id="rId13" Type="http://schemas.openxmlformats.org/officeDocument/2006/relationships/image" Target="media/image3.gif"/><Relationship Id="rId18" Type="http://schemas.openxmlformats.org/officeDocument/2006/relationships/hyperlink" Target="https://www.swisseduc.ch/chemie/molekularium/sulfonamides/Sulfanilamid_D_DHPS/b/_images/vergroessern.png" TargetMode="External"/><Relationship Id="rId26" Type="http://schemas.openxmlformats.org/officeDocument/2006/relationships/hyperlink" Target="file:///D:\xampp\htdocs\_swisseduc_git_202010\molekularium\sulfonamides\Sulfanilamid_D_DHPS\b\_images\m_zuruecksetzen.png" TargetMode="External"/><Relationship Id="rId39" Type="http://schemas.openxmlformats.org/officeDocument/2006/relationships/hyperlink" Target="file:///D:\xampp\htdocs\_swisseduc_git_202010\molekularium\sulfonamides\Sulfanilamid_D_DHPS\b\_images\m_antialias.png"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en.wikipedia.org/wiki/Staphylococcus_aureus" TargetMode="External"/><Relationship Id="rId7" Type="http://schemas.openxmlformats.org/officeDocument/2006/relationships/endnotes" Target="endnotes.xml"/><Relationship Id="rId12" Type="http://schemas.openxmlformats.org/officeDocument/2006/relationships/hyperlink" Target="file:///D:\xampp\htdocs\_swisseduc_git_202010\molekularium\sulfonamides\Sulfanilamid_D_DHPS\b\_images\reaktion.gif"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file:///D:\xampp\htdocs\_swisseduc_git_202010\molekularium\sulfonamides\Sulfanilamid_D_DHPS\b\_images\m_ueberpruefen.png" TargetMode="Externa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swisseduc.ch/chemie/molekularium/sulfonamides/Sulfanilamid_D_DHPS/b/_images/oberflaechenladungenB.png" TargetMode="External"/><Relationship Id="rId20" Type="http://schemas.openxmlformats.org/officeDocument/2006/relationships/hyperlink" Target="file:///D:\xampp\htdocs\_swisseduc_git_202010\molekularium\sulfonamides\Sulfanilamid_D_DHPS\b\_images\m_cartoonAus.png" TargetMode="External"/><Relationship Id="rId29" Type="http://schemas.openxmlformats.org/officeDocument/2006/relationships/image" Target="media/image11.png"/><Relationship Id="rId41" Type="http://schemas.openxmlformats.org/officeDocument/2006/relationships/hyperlink" Target="https://de.wikipedia.org/wiki/Sulfanilam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file:///D:\xampp\htdocs\_swisseduc_git_202010\molekularium\sulfonamides\Sulfanilamid_D_DHPS\b\_images\m_schiebenDrehen.png" TargetMode="External"/><Relationship Id="rId32" Type="http://schemas.openxmlformats.org/officeDocument/2006/relationships/image" Target="media/image13.png"/><Relationship Id="rId37" Type="http://schemas.openxmlformats.org/officeDocument/2006/relationships/hyperlink" Target="file:///D:\xampp\htdocs\_swisseduc_git_202010\molekularium\sulfonamides\Sulfanilamid_D_DHPS\b\_images\m_zentrumWasserstoffbruecken.png" TargetMode="External"/><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file:///D:\xampp\htdocs\_swisseduc_git_202010\molekularium\sulfonamides\Sulfanilamid_D_DHPS\b\_images\m_bildZentrieren.png" TargetMode="External"/><Relationship Id="rId36" Type="http://schemas.openxmlformats.org/officeDocument/2006/relationships/image" Target="media/image15.png"/><Relationship Id="rId10" Type="http://schemas.openxmlformats.org/officeDocument/2006/relationships/hyperlink" Target="file:///D:\xampp\htdocs\_swisseduc_git_202010\molekularium\sulfonamides\Sulfanilamid_D_DHPS\b\_images\SulfanilamidSaureus.png"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D:\xampp\htdocs\_swisseduc_git_202010\molekularium\sulfonamides\Sulfanilamid_D_DHPS\b\_images\Ansichten0und1.png" TargetMode="External"/><Relationship Id="rId22" Type="http://schemas.openxmlformats.org/officeDocument/2006/relationships/hyperlink" Target="file:///D:\xampp\htdocs\_swisseduc_git_202010\molekularium\sulfonamides\Sulfanilamid_D_DHPS\b\_images\m_mausbefehle.png" TargetMode="External"/><Relationship Id="rId27" Type="http://schemas.openxmlformats.org/officeDocument/2006/relationships/image" Target="media/image10.png"/><Relationship Id="rId30" Type="http://schemas.openxmlformats.org/officeDocument/2006/relationships/hyperlink" Target="file:///D:\xampp\htdocs\_swisseduc_git_202010\molekularium\sulfonamides\Sulfanilamid_D_DHPS\b\_images\m_abbildungDrehen.png" TargetMode="External"/><Relationship Id="rId35" Type="http://schemas.openxmlformats.org/officeDocument/2006/relationships/hyperlink" Target="file:///D:\xampp\htdocs\_swisseduc_git_202010\molekularium\sulfonamides\Sulfanilamid_D_DHPS\b\_images\m_maussteuerungAus.png" TargetMode="External"/><Relationship Id="rId43"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98420AD-D1F5-45EC-9DF0-C9E31F1B1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1145</Words>
  <Characters>7220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 Leisinger</dc:creator>
  <cp:keywords/>
  <dc:description/>
  <cp:lastModifiedBy>Urs Leisinger</cp:lastModifiedBy>
  <cp:revision>8</cp:revision>
  <dcterms:created xsi:type="dcterms:W3CDTF">2021-02-22T19:15:00Z</dcterms:created>
  <dcterms:modified xsi:type="dcterms:W3CDTF">2021-02-22T21:59:00Z</dcterms:modified>
</cp:coreProperties>
</file>